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katabulky"/>
        <w:tblW w:w="14312" w:type="dxa"/>
        <w:tblLook w:val="04A0" w:firstRow="1" w:lastRow="0" w:firstColumn="1" w:lastColumn="0" w:noHBand="0" w:noVBand="1"/>
      </w:tblPr>
      <w:tblGrid>
        <w:gridCol w:w="1109"/>
        <w:gridCol w:w="1841"/>
        <w:gridCol w:w="4109"/>
        <w:gridCol w:w="1700"/>
        <w:gridCol w:w="5553"/>
      </w:tblGrid>
      <w:tr w:rsidR="00AA2EA0" w:rsidRPr="00AA2EA0" w:rsidTr="00896E31">
        <w:tc>
          <w:tcPr>
            <w:tcW w:w="14312" w:type="dxa"/>
            <w:gridSpan w:val="5"/>
          </w:tcPr>
          <w:p w:rsidR="00AA2EA0" w:rsidRPr="00AA2EA0" w:rsidRDefault="00B33B9A" w:rsidP="00DB7ABA">
            <w:pPr>
              <w:jc w:val="center"/>
              <w:rPr>
                <w:rFonts w:ascii="Times New Roman" w:hAnsi="Times New Roman" w:cs="Times New Roman"/>
                <w:b/>
                <w:sz w:val="28"/>
              </w:rPr>
            </w:pPr>
            <w:r w:rsidRPr="00B33B9A">
              <w:rPr>
                <w:rFonts w:ascii="Times New Roman" w:hAnsi="Times New Roman" w:cs="Times New Roman"/>
                <w:b/>
                <w:sz w:val="28"/>
              </w:rPr>
              <w:t>POUŽÍVÁNÍ ÚROVNĚ EURO 5 U SCHVALOVÁNÍ TYPU DVOUKOLOVÝCH NEBO TŘÍKOLOVÝCH VOZIDEL A ČTYŘKOLEK</w:t>
            </w:r>
          </w:p>
        </w:tc>
      </w:tr>
      <w:tr w:rsidR="00AA2EA0" w:rsidRPr="00AA2EA0" w:rsidTr="00896E31">
        <w:tc>
          <w:tcPr>
            <w:tcW w:w="14312" w:type="dxa"/>
            <w:gridSpan w:val="5"/>
            <w:shd w:val="clear" w:color="auto" w:fill="FDE9D9" w:themeFill="accent6" w:themeFillTint="33"/>
          </w:tcPr>
          <w:p w:rsidR="00AA2EA0" w:rsidRPr="00AA2EA0" w:rsidRDefault="00AA2EA0" w:rsidP="00A4284B">
            <w:pPr>
              <w:jc w:val="center"/>
              <w:rPr>
                <w:rFonts w:ascii="Times New Roman" w:hAnsi="Times New Roman" w:cs="Times New Roman"/>
                <w:b/>
                <w:sz w:val="28"/>
              </w:rPr>
            </w:pPr>
            <w:r w:rsidRPr="00AA2EA0">
              <w:rPr>
                <w:rFonts w:ascii="Times New Roman" w:hAnsi="Times New Roman" w:cs="Times New Roman"/>
                <w:b/>
                <w:sz w:val="32"/>
              </w:rPr>
              <w:t>201</w:t>
            </w:r>
            <w:r w:rsidR="00A4284B">
              <w:rPr>
                <w:rFonts w:ascii="Times New Roman" w:hAnsi="Times New Roman" w:cs="Times New Roman"/>
                <w:b/>
                <w:sz w:val="32"/>
              </w:rPr>
              <w:t>8</w:t>
            </w:r>
          </w:p>
        </w:tc>
      </w:tr>
      <w:tr w:rsidR="00394B1B" w:rsidRPr="00AA2EA0" w:rsidTr="00896E31">
        <w:tc>
          <w:tcPr>
            <w:tcW w:w="1109" w:type="dxa"/>
            <w:vAlign w:val="center"/>
          </w:tcPr>
          <w:p w:rsidR="00394B1B" w:rsidRPr="00394B1B" w:rsidRDefault="00394B1B" w:rsidP="00394B1B">
            <w:pPr>
              <w:jc w:val="center"/>
              <w:rPr>
                <w:rFonts w:ascii="Times New Roman" w:hAnsi="Times New Roman" w:cs="Times New Roman"/>
              </w:rPr>
            </w:pPr>
            <w:r w:rsidRPr="00DF32E0">
              <w:rPr>
                <w:rFonts w:ascii="Times New Roman" w:hAnsi="Times New Roman" w:cs="Times New Roman"/>
              </w:rPr>
              <w:t>PS G7</w:t>
            </w:r>
          </w:p>
        </w:tc>
        <w:tc>
          <w:tcPr>
            <w:tcW w:w="1841" w:type="dxa"/>
            <w:vAlign w:val="center"/>
          </w:tcPr>
          <w:p w:rsidR="00394B1B" w:rsidRDefault="00394B1B" w:rsidP="00394B1B">
            <w:pPr>
              <w:jc w:val="center"/>
              <w:rPr>
                <w:rFonts w:ascii="Times New Roman" w:hAnsi="Times New Roman" w:cs="Times New Roman"/>
              </w:rPr>
            </w:pPr>
            <w:r>
              <w:rPr>
                <w:rFonts w:ascii="Times New Roman" w:hAnsi="Times New Roman" w:cs="Times New Roman"/>
              </w:rPr>
              <w:t>25. 04. 2018</w:t>
            </w:r>
          </w:p>
        </w:tc>
        <w:tc>
          <w:tcPr>
            <w:tcW w:w="4109" w:type="dxa"/>
          </w:tcPr>
          <w:p w:rsidR="00F02856" w:rsidRPr="00F02856" w:rsidRDefault="00F02856" w:rsidP="00F02856">
            <w:pPr>
              <w:pStyle w:val="Bezmezer"/>
              <w:ind w:left="63"/>
              <w:jc w:val="both"/>
              <w:rPr>
                <w:rFonts w:ascii="Times New Roman" w:hAnsi="Times New Roman" w:cs="Times New Roman"/>
                <w:iCs/>
                <w:lang w:val="en-GB" w:eastAsia="en-GB"/>
              </w:rPr>
            </w:pPr>
            <w:r w:rsidRPr="00F02856">
              <w:rPr>
                <w:rFonts w:ascii="Times New Roman" w:hAnsi="Times New Roman" w:cs="Times New Roman"/>
                <w:iCs/>
                <w:lang w:val="en-GB" w:eastAsia="en-GB"/>
              </w:rPr>
              <w:t xml:space="preserve">Proposal for a Regulation of the European Parliament and of the Council amending Regulation (EU) No 168/2013 as regards the application of the Euro 5 step to the type-approval of two- or three- wheel vehicles and </w:t>
            </w:r>
            <w:proofErr w:type="spellStart"/>
            <w:r w:rsidRPr="00F02856">
              <w:rPr>
                <w:rFonts w:ascii="Times New Roman" w:hAnsi="Times New Roman" w:cs="Times New Roman"/>
                <w:iCs/>
                <w:lang w:val="en-GB" w:eastAsia="en-GB"/>
              </w:rPr>
              <w:t>quadricycles</w:t>
            </w:r>
            <w:proofErr w:type="spellEnd"/>
          </w:p>
          <w:p w:rsidR="00394B1B" w:rsidRPr="00896E31" w:rsidRDefault="00F02856" w:rsidP="00F02856">
            <w:pPr>
              <w:pStyle w:val="Bezmezer"/>
              <w:ind w:left="63"/>
              <w:jc w:val="both"/>
              <w:rPr>
                <w:rFonts w:ascii="Times New Roman" w:hAnsi="Times New Roman" w:cs="Times New Roman"/>
                <w:iCs/>
                <w:lang w:val="en-GB" w:eastAsia="en-GB"/>
              </w:rPr>
            </w:pPr>
            <w:r w:rsidRPr="00F02856">
              <w:rPr>
                <w:rFonts w:ascii="Times New Roman" w:hAnsi="Times New Roman" w:cs="Times New Roman"/>
                <w:iCs/>
                <w:lang w:val="en-GB" w:eastAsia="en-GB"/>
              </w:rPr>
              <w:t>– Presentation of the proposal by the Commission</w:t>
            </w:r>
          </w:p>
        </w:tc>
        <w:tc>
          <w:tcPr>
            <w:tcW w:w="1700" w:type="dxa"/>
          </w:tcPr>
          <w:p w:rsidR="00394B1B" w:rsidRDefault="00F02856" w:rsidP="00394B1B">
            <w:pPr>
              <w:rPr>
                <w:rFonts w:ascii="Times New Roman" w:hAnsi="Times New Roman" w:cs="Times New Roman"/>
              </w:rPr>
            </w:pPr>
            <w:r>
              <w:rPr>
                <w:rFonts w:ascii="Times New Roman" w:hAnsi="Times New Roman" w:cs="Times New Roman"/>
              </w:rPr>
              <w:t>SZB</w:t>
            </w:r>
          </w:p>
        </w:tc>
        <w:tc>
          <w:tcPr>
            <w:tcW w:w="5553" w:type="dxa"/>
          </w:tcPr>
          <w:p w:rsidR="00394B1B" w:rsidRPr="00D020E1" w:rsidRDefault="00F02856" w:rsidP="00F02856">
            <w:pPr>
              <w:jc w:val="both"/>
              <w:rPr>
                <w:rFonts w:ascii="Times New Roman" w:hAnsi="Times New Roman" w:cs="Times New Roman"/>
              </w:rPr>
            </w:pPr>
            <w:proofErr w:type="spellStart"/>
            <w:r w:rsidRPr="00F02856">
              <w:rPr>
                <w:rFonts w:ascii="Times New Roman" w:hAnsi="Times New Roman" w:cs="Times New Roman"/>
              </w:rPr>
              <w:t>EK</w:t>
            </w:r>
            <w:proofErr w:type="spellEnd"/>
            <w:r w:rsidRPr="00F02856">
              <w:rPr>
                <w:rFonts w:ascii="Times New Roman" w:hAnsi="Times New Roman" w:cs="Times New Roman"/>
              </w:rPr>
              <w:t xml:space="preserve"> představila návrh nařízení</w:t>
            </w:r>
            <w:r w:rsidR="00162B1A">
              <w:rPr>
                <w:rFonts w:ascii="Times New Roman" w:hAnsi="Times New Roman" w:cs="Times New Roman"/>
              </w:rPr>
              <w:t xml:space="preserve"> </w:t>
            </w:r>
            <w:proofErr w:type="gramStart"/>
            <w:r w:rsidR="00162B1A">
              <w:rPr>
                <w:rFonts w:ascii="Times New Roman" w:hAnsi="Times New Roman" w:cs="Times New Roman"/>
              </w:rPr>
              <w:t>19.03.2018</w:t>
            </w:r>
            <w:proofErr w:type="gramEnd"/>
            <w:r w:rsidRPr="00F02856">
              <w:rPr>
                <w:rFonts w:ascii="Times New Roman" w:hAnsi="Times New Roman" w:cs="Times New Roman"/>
              </w:rPr>
              <w:t xml:space="preserve">. Podle článku 23 EK provedla evaluační studii pro Euro 5. Závěrem je, že limity jsou technicky proveditelné a nákladově efektivní. Mírné změny byly provedeny na základě obdržených komentářů v konzultaci, ale v souladu se studií. Navrhovány změny v </w:t>
            </w:r>
            <w:proofErr w:type="spellStart"/>
            <w:r w:rsidRPr="00F02856">
              <w:rPr>
                <w:rFonts w:ascii="Times New Roman" w:hAnsi="Times New Roman" w:cs="Times New Roman"/>
              </w:rPr>
              <w:t>durability</w:t>
            </w:r>
            <w:proofErr w:type="spellEnd"/>
            <w:r w:rsidRPr="00F02856">
              <w:rPr>
                <w:rFonts w:ascii="Times New Roman" w:hAnsi="Times New Roman" w:cs="Times New Roman"/>
              </w:rPr>
              <w:t xml:space="preserve"> </w:t>
            </w:r>
            <w:proofErr w:type="spellStart"/>
            <w:r w:rsidRPr="00F02856">
              <w:rPr>
                <w:rFonts w:ascii="Times New Roman" w:hAnsi="Times New Roman" w:cs="Times New Roman"/>
              </w:rPr>
              <w:t>testing</w:t>
            </w:r>
            <w:proofErr w:type="spellEnd"/>
            <w:r w:rsidRPr="00F02856">
              <w:rPr>
                <w:rFonts w:ascii="Times New Roman" w:hAnsi="Times New Roman" w:cs="Times New Roman"/>
              </w:rPr>
              <w:t>, limity pro OBD, prodloužení pravomoci EK pro přijetí DA, poskytnutí více času pro malé operátory. Hlukové limity pro Euro 4 jsou vyňaty a budou přijaty později také v rámci spolurozhodovací procedury.</w:t>
            </w:r>
          </w:p>
        </w:tc>
      </w:tr>
      <w:tr w:rsidR="00394B1B" w:rsidRPr="00AA2EA0" w:rsidTr="00896E31">
        <w:tc>
          <w:tcPr>
            <w:tcW w:w="1109" w:type="dxa"/>
            <w:vAlign w:val="center"/>
          </w:tcPr>
          <w:p w:rsidR="00394B1B" w:rsidRPr="00394B1B" w:rsidRDefault="00394B1B" w:rsidP="00394B1B">
            <w:pPr>
              <w:jc w:val="center"/>
              <w:rPr>
                <w:rFonts w:ascii="Times New Roman" w:hAnsi="Times New Roman" w:cs="Times New Roman"/>
              </w:rPr>
            </w:pPr>
            <w:r w:rsidRPr="00DF32E0">
              <w:rPr>
                <w:rFonts w:ascii="Times New Roman" w:hAnsi="Times New Roman" w:cs="Times New Roman"/>
              </w:rPr>
              <w:t>PS G7</w:t>
            </w:r>
          </w:p>
        </w:tc>
        <w:tc>
          <w:tcPr>
            <w:tcW w:w="1841" w:type="dxa"/>
            <w:vAlign w:val="center"/>
          </w:tcPr>
          <w:p w:rsidR="00394B1B" w:rsidRDefault="00394B1B" w:rsidP="00394B1B">
            <w:pPr>
              <w:jc w:val="center"/>
              <w:rPr>
                <w:rFonts w:ascii="Times New Roman" w:hAnsi="Times New Roman" w:cs="Times New Roman"/>
              </w:rPr>
            </w:pPr>
            <w:r>
              <w:rPr>
                <w:rFonts w:ascii="Times New Roman" w:hAnsi="Times New Roman" w:cs="Times New Roman"/>
              </w:rPr>
              <w:t>22. 05. 2018</w:t>
            </w:r>
          </w:p>
        </w:tc>
        <w:tc>
          <w:tcPr>
            <w:tcW w:w="4109" w:type="dxa"/>
          </w:tcPr>
          <w:p w:rsidR="00F02856" w:rsidRPr="00F02856" w:rsidRDefault="00F02856" w:rsidP="00F02856">
            <w:pPr>
              <w:pStyle w:val="Bezmezer"/>
              <w:ind w:left="63"/>
              <w:jc w:val="both"/>
              <w:rPr>
                <w:rFonts w:ascii="Times New Roman" w:hAnsi="Times New Roman" w:cs="Times New Roman"/>
                <w:iCs/>
                <w:lang w:val="en-GB" w:eastAsia="en-GB"/>
              </w:rPr>
            </w:pPr>
            <w:r w:rsidRPr="00F02856">
              <w:rPr>
                <w:rFonts w:ascii="Times New Roman" w:hAnsi="Times New Roman" w:cs="Times New Roman"/>
                <w:iCs/>
                <w:lang w:val="en-GB" w:eastAsia="en-GB"/>
              </w:rPr>
              <w:t>Proposal for a COUNCIL DECISION on the application by the EU of Regulations Nos 9, 63 and 92 of the United Nations Economic Commission for Europe on uniform provisions concerning the approval of three-wheeled vehicles, mopeds and the replacement silencing systems of L-category vehicles with regard to sound emissions</w:t>
            </w:r>
          </w:p>
          <w:p w:rsidR="00394B1B" w:rsidRPr="00D020E1" w:rsidRDefault="00F02856" w:rsidP="00F02856">
            <w:pPr>
              <w:pStyle w:val="Bezmezer"/>
              <w:ind w:left="63"/>
              <w:jc w:val="both"/>
              <w:rPr>
                <w:rFonts w:ascii="Times New Roman" w:hAnsi="Times New Roman" w:cs="Times New Roman"/>
                <w:iCs/>
                <w:lang w:val="en-GB" w:eastAsia="en-GB"/>
              </w:rPr>
            </w:pPr>
            <w:r w:rsidRPr="00F02856">
              <w:rPr>
                <w:rFonts w:ascii="Times New Roman" w:hAnsi="Times New Roman" w:cs="Times New Roman"/>
                <w:iCs/>
                <w:lang w:val="en-GB" w:eastAsia="en-GB"/>
              </w:rPr>
              <w:t>– Presentation by the Commission</w:t>
            </w:r>
          </w:p>
        </w:tc>
        <w:tc>
          <w:tcPr>
            <w:tcW w:w="1700" w:type="dxa"/>
          </w:tcPr>
          <w:p w:rsidR="00394B1B" w:rsidRDefault="00394B1B" w:rsidP="00394B1B">
            <w:pPr>
              <w:rPr>
                <w:rFonts w:ascii="Times New Roman" w:hAnsi="Times New Roman" w:cs="Times New Roman"/>
              </w:rPr>
            </w:pPr>
            <w:r>
              <w:rPr>
                <w:rFonts w:ascii="Times New Roman" w:hAnsi="Times New Roman" w:cs="Times New Roman"/>
              </w:rPr>
              <w:t>MD</w:t>
            </w:r>
          </w:p>
        </w:tc>
        <w:tc>
          <w:tcPr>
            <w:tcW w:w="5553" w:type="dxa"/>
          </w:tcPr>
          <w:p w:rsidR="00394B1B" w:rsidRPr="00D020E1" w:rsidRDefault="00F02856" w:rsidP="00394B1B">
            <w:pPr>
              <w:jc w:val="both"/>
              <w:rPr>
                <w:rFonts w:ascii="Times New Roman" w:hAnsi="Times New Roman" w:cs="Times New Roman"/>
              </w:rPr>
            </w:pPr>
            <w:r>
              <w:rPr>
                <w:rFonts w:ascii="Times New Roman" w:hAnsi="Times New Roman" w:cs="Times New Roman"/>
              </w:rPr>
              <w:t>PS G7 projednala čl. 1 návrhu nařízení.</w:t>
            </w:r>
          </w:p>
        </w:tc>
      </w:tr>
      <w:tr w:rsidR="00394B1B" w:rsidRPr="00AA2EA0" w:rsidTr="00896E31">
        <w:tc>
          <w:tcPr>
            <w:tcW w:w="1109" w:type="dxa"/>
            <w:vAlign w:val="center"/>
          </w:tcPr>
          <w:p w:rsidR="00394B1B" w:rsidRPr="00DF32E0" w:rsidRDefault="00394B1B" w:rsidP="00394B1B">
            <w:pPr>
              <w:jc w:val="center"/>
              <w:rPr>
                <w:rFonts w:ascii="Times New Roman" w:hAnsi="Times New Roman" w:cs="Times New Roman"/>
              </w:rPr>
            </w:pPr>
            <w:r w:rsidRPr="00DF32E0">
              <w:rPr>
                <w:rFonts w:ascii="Times New Roman" w:hAnsi="Times New Roman" w:cs="Times New Roman"/>
              </w:rPr>
              <w:t>PS G7</w:t>
            </w:r>
          </w:p>
        </w:tc>
        <w:tc>
          <w:tcPr>
            <w:tcW w:w="1841" w:type="dxa"/>
            <w:vAlign w:val="center"/>
          </w:tcPr>
          <w:p w:rsidR="00394B1B" w:rsidRPr="00DF32E0" w:rsidRDefault="00394B1B" w:rsidP="00394B1B">
            <w:pPr>
              <w:jc w:val="center"/>
              <w:rPr>
                <w:rFonts w:ascii="Times New Roman" w:hAnsi="Times New Roman" w:cs="Times New Roman"/>
              </w:rPr>
            </w:pPr>
            <w:r>
              <w:rPr>
                <w:rFonts w:ascii="Times New Roman" w:hAnsi="Times New Roman" w:cs="Times New Roman"/>
              </w:rPr>
              <w:t>12. 06. 2018</w:t>
            </w:r>
          </w:p>
        </w:tc>
        <w:tc>
          <w:tcPr>
            <w:tcW w:w="4109" w:type="dxa"/>
          </w:tcPr>
          <w:p w:rsidR="00F02856" w:rsidRPr="00F02856" w:rsidRDefault="00F02856" w:rsidP="00F02856">
            <w:pPr>
              <w:pStyle w:val="Bezmezer"/>
              <w:ind w:left="63"/>
              <w:jc w:val="both"/>
              <w:rPr>
                <w:rFonts w:ascii="Times New Roman" w:hAnsi="Times New Roman" w:cs="Times New Roman"/>
                <w:iCs/>
                <w:lang w:val="en-GB" w:eastAsia="en-GB"/>
              </w:rPr>
            </w:pPr>
            <w:r w:rsidRPr="00F02856">
              <w:rPr>
                <w:rFonts w:ascii="Times New Roman" w:hAnsi="Times New Roman" w:cs="Times New Roman"/>
                <w:iCs/>
                <w:lang w:val="en-GB" w:eastAsia="en-GB"/>
              </w:rPr>
              <w:t xml:space="preserve">Proposal for a Regulation of the European Parliament and of the Council amending Regulation (EU) No 168/2013 as regards the application of the Euro 5 step to the type-approval of two- or three- wheel vehicles and </w:t>
            </w:r>
            <w:proofErr w:type="spellStart"/>
            <w:r w:rsidRPr="00F02856">
              <w:rPr>
                <w:rFonts w:ascii="Times New Roman" w:hAnsi="Times New Roman" w:cs="Times New Roman"/>
                <w:iCs/>
                <w:lang w:val="en-GB" w:eastAsia="en-GB"/>
              </w:rPr>
              <w:t>quadricycles</w:t>
            </w:r>
            <w:proofErr w:type="spellEnd"/>
          </w:p>
          <w:p w:rsidR="00394B1B" w:rsidRPr="00A4284B" w:rsidRDefault="00F02856" w:rsidP="00F02856">
            <w:pPr>
              <w:pStyle w:val="Bezmezer"/>
              <w:ind w:left="63"/>
              <w:jc w:val="both"/>
              <w:rPr>
                <w:rFonts w:ascii="Times New Roman" w:hAnsi="Times New Roman" w:cs="Times New Roman"/>
                <w:iCs/>
                <w:lang w:val="en-GB" w:eastAsia="en-GB"/>
              </w:rPr>
            </w:pPr>
            <w:r w:rsidRPr="00F02856">
              <w:rPr>
                <w:rFonts w:ascii="Times New Roman" w:hAnsi="Times New Roman" w:cs="Times New Roman"/>
                <w:iCs/>
                <w:lang w:val="en-GB" w:eastAsia="en-GB"/>
              </w:rPr>
              <w:lastRenderedPageBreak/>
              <w:t>– Examination of the Presidency compromise proposal</w:t>
            </w:r>
          </w:p>
        </w:tc>
        <w:tc>
          <w:tcPr>
            <w:tcW w:w="1700" w:type="dxa"/>
          </w:tcPr>
          <w:p w:rsidR="00394B1B" w:rsidRPr="003C7DA8" w:rsidRDefault="00394B1B" w:rsidP="00394B1B">
            <w:pPr>
              <w:rPr>
                <w:rFonts w:ascii="Times New Roman" w:hAnsi="Times New Roman" w:cs="Times New Roman"/>
              </w:rPr>
            </w:pPr>
            <w:r>
              <w:rPr>
                <w:rFonts w:ascii="Times New Roman" w:hAnsi="Times New Roman" w:cs="Times New Roman"/>
              </w:rPr>
              <w:lastRenderedPageBreak/>
              <w:t>MD</w:t>
            </w:r>
          </w:p>
        </w:tc>
        <w:tc>
          <w:tcPr>
            <w:tcW w:w="5553" w:type="dxa"/>
          </w:tcPr>
          <w:p w:rsidR="00394B1B" w:rsidRPr="00F520AC" w:rsidRDefault="00F86272" w:rsidP="004A6F12">
            <w:pPr>
              <w:jc w:val="both"/>
              <w:rPr>
                <w:rFonts w:ascii="Times New Roman" w:hAnsi="Times New Roman" w:cs="Times New Roman"/>
              </w:rPr>
            </w:pPr>
            <w:r>
              <w:rPr>
                <w:rFonts w:ascii="Times New Roman" w:hAnsi="Times New Roman" w:cs="Times New Roman"/>
              </w:rPr>
              <w:t>Na</w:t>
            </w:r>
            <w:r w:rsidRPr="00F86272">
              <w:rPr>
                <w:rFonts w:ascii="Times New Roman" w:hAnsi="Times New Roman" w:cs="Times New Roman"/>
              </w:rPr>
              <w:t xml:space="preserve"> základě připomínek členských států (ES, IT, UK) byly provedeny technické úpravy oproti návrhu EK zejména v části prodloužení lhůty pro náběh limitu Euro 5 pro určité typy vozidel kategorie L. CZ neměla k návrhu nařízení připomínky a souhlasí s předloženým mandátem.</w:t>
            </w:r>
          </w:p>
        </w:tc>
      </w:tr>
      <w:tr w:rsidR="00394B1B" w:rsidRPr="00AA2EA0" w:rsidTr="00896E31">
        <w:tc>
          <w:tcPr>
            <w:tcW w:w="1109" w:type="dxa"/>
            <w:vAlign w:val="center"/>
          </w:tcPr>
          <w:p w:rsidR="00394B1B" w:rsidRPr="00DF32E0" w:rsidRDefault="00394B1B" w:rsidP="00394B1B">
            <w:pPr>
              <w:jc w:val="center"/>
              <w:rPr>
                <w:rFonts w:ascii="Times New Roman" w:hAnsi="Times New Roman" w:cs="Times New Roman"/>
              </w:rPr>
            </w:pPr>
            <w:r>
              <w:rPr>
                <w:rFonts w:ascii="Times New Roman" w:hAnsi="Times New Roman" w:cs="Times New Roman"/>
              </w:rPr>
              <w:t>CRP I</w:t>
            </w:r>
          </w:p>
        </w:tc>
        <w:tc>
          <w:tcPr>
            <w:tcW w:w="1841" w:type="dxa"/>
            <w:vAlign w:val="center"/>
          </w:tcPr>
          <w:p w:rsidR="00394B1B" w:rsidRDefault="00394B1B" w:rsidP="00394B1B">
            <w:pPr>
              <w:jc w:val="center"/>
              <w:rPr>
                <w:rFonts w:ascii="Times New Roman" w:hAnsi="Times New Roman" w:cs="Times New Roman"/>
              </w:rPr>
            </w:pPr>
            <w:r>
              <w:rPr>
                <w:rFonts w:ascii="Times New Roman" w:hAnsi="Times New Roman" w:cs="Times New Roman"/>
              </w:rPr>
              <w:t>27. 06. 2018</w:t>
            </w:r>
          </w:p>
        </w:tc>
        <w:tc>
          <w:tcPr>
            <w:tcW w:w="4109" w:type="dxa"/>
          </w:tcPr>
          <w:p w:rsidR="00F86272" w:rsidRPr="00F86272" w:rsidRDefault="00F86272" w:rsidP="00F86272">
            <w:pPr>
              <w:pStyle w:val="Bezmezer"/>
              <w:ind w:left="63"/>
              <w:rPr>
                <w:rFonts w:ascii="Times New Roman" w:hAnsi="Times New Roman" w:cs="Times New Roman"/>
                <w:lang w:val="en-GB"/>
              </w:rPr>
            </w:pPr>
            <w:r w:rsidRPr="00F86272">
              <w:rPr>
                <w:rFonts w:ascii="Times New Roman" w:hAnsi="Times New Roman" w:cs="Times New Roman"/>
                <w:lang w:val="en-GB"/>
              </w:rPr>
              <w:t>Regulation amending Regulation (EU) No 168/2013 on the</w:t>
            </w:r>
            <w:r>
              <w:rPr>
                <w:rFonts w:ascii="Times New Roman" w:hAnsi="Times New Roman" w:cs="Times New Roman"/>
                <w:lang w:val="en-GB"/>
              </w:rPr>
              <w:t xml:space="preserve"> </w:t>
            </w:r>
            <w:r w:rsidRPr="00F86272">
              <w:rPr>
                <w:rFonts w:ascii="Times New Roman" w:hAnsi="Times New Roman" w:cs="Times New Roman"/>
                <w:lang w:val="en-GB"/>
              </w:rPr>
              <w:t xml:space="preserve">type-approval of two or three-wheel vehicles and </w:t>
            </w:r>
            <w:proofErr w:type="spellStart"/>
            <w:r w:rsidRPr="00F86272">
              <w:rPr>
                <w:rFonts w:ascii="Times New Roman" w:hAnsi="Times New Roman" w:cs="Times New Roman"/>
                <w:lang w:val="en-GB"/>
              </w:rPr>
              <w:t>quadricycles</w:t>
            </w:r>
            <w:proofErr w:type="spellEnd"/>
          </w:p>
          <w:p w:rsidR="00394B1B" w:rsidRPr="00433E23" w:rsidRDefault="00F86272" w:rsidP="00F86272">
            <w:pPr>
              <w:pStyle w:val="Bezmezer"/>
              <w:ind w:left="63"/>
              <w:rPr>
                <w:rFonts w:ascii="Times New Roman" w:hAnsi="Times New Roman" w:cs="Times New Roman"/>
                <w:lang w:val="en-GB"/>
              </w:rPr>
            </w:pPr>
            <w:r w:rsidRPr="00F86272">
              <w:rPr>
                <w:rFonts w:ascii="Times New Roman" w:hAnsi="Times New Roman" w:cs="Times New Roman"/>
                <w:lang w:val="en-GB"/>
              </w:rPr>
              <w:t>Mandate for negotiations with the European Parliament</w:t>
            </w:r>
          </w:p>
        </w:tc>
        <w:tc>
          <w:tcPr>
            <w:tcW w:w="1700" w:type="dxa"/>
          </w:tcPr>
          <w:p w:rsidR="00394B1B" w:rsidRDefault="00394B1B" w:rsidP="00394B1B">
            <w:pPr>
              <w:rPr>
                <w:rFonts w:ascii="Times New Roman" w:hAnsi="Times New Roman" w:cs="Times New Roman"/>
              </w:rPr>
            </w:pPr>
            <w:r>
              <w:rPr>
                <w:rFonts w:ascii="Times New Roman" w:hAnsi="Times New Roman" w:cs="Times New Roman"/>
              </w:rPr>
              <w:t>SZB</w:t>
            </w:r>
          </w:p>
        </w:tc>
        <w:tc>
          <w:tcPr>
            <w:tcW w:w="5553" w:type="dxa"/>
          </w:tcPr>
          <w:p w:rsidR="00394B1B" w:rsidRDefault="00F86272" w:rsidP="00F86272">
            <w:pPr>
              <w:rPr>
                <w:rFonts w:ascii="Times New Roman" w:hAnsi="Times New Roman" w:cs="Times New Roman"/>
                <w:bCs/>
              </w:rPr>
            </w:pPr>
            <w:r w:rsidRPr="00F86272">
              <w:rPr>
                <w:rFonts w:ascii="Times New Roman" w:hAnsi="Times New Roman" w:cs="Times New Roman"/>
                <w:bCs/>
              </w:rPr>
              <w:t>Coreper schválil mandát pro jednání s EP k návrhu nařízení. EK zdůraznila, že na základě evaluační studie, která předcházela přijetí návrhu, návrh zajišťuje rovnováhu mezi nákladovou efektivností a ochranou životního prostředí a ovzduší. DE uvedlo, že mandát může akceptovat až poté, co EK vyjasní otázky ohledně technické proveditelnosti hlukových limitů, načež EK přislíbila zodpovědět dotaz DE bilaterálně. CZ k tomuto bodu nevystoupila.</w:t>
            </w:r>
          </w:p>
        </w:tc>
      </w:tr>
      <w:tr w:rsidR="00634B2B" w:rsidRPr="00AA2EA0" w:rsidTr="00634B2B">
        <w:tc>
          <w:tcPr>
            <w:tcW w:w="14312" w:type="dxa"/>
            <w:gridSpan w:val="5"/>
            <w:shd w:val="clear" w:color="auto" w:fill="FDE9D9" w:themeFill="accent6" w:themeFillTint="33"/>
            <w:vAlign w:val="center"/>
          </w:tcPr>
          <w:p w:rsidR="00634B2B" w:rsidRPr="00634B2B" w:rsidRDefault="00634B2B" w:rsidP="00634B2B">
            <w:pPr>
              <w:overflowPunct w:val="0"/>
              <w:autoSpaceDE w:val="0"/>
              <w:autoSpaceDN w:val="0"/>
              <w:adjustRightInd w:val="0"/>
              <w:jc w:val="center"/>
              <w:rPr>
                <w:rFonts w:ascii="Times New Roman" w:hAnsi="Times New Roman" w:cs="Times New Roman"/>
                <w:b/>
                <w:bCs/>
                <w:sz w:val="28"/>
                <w:szCs w:val="28"/>
              </w:rPr>
            </w:pPr>
            <w:r w:rsidRPr="00634B2B">
              <w:rPr>
                <w:rFonts w:ascii="Times New Roman" w:hAnsi="Times New Roman" w:cs="Times New Roman"/>
                <w:b/>
                <w:bCs/>
                <w:sz w:val="28"/>
                <w:szCs w:val="28"/>
              </w:rPr>
              <w:t>2019</w:t>
            </w:r>
          </w:p>
        </w:tc>
      </w:tr>
      <w:tr w:rsidR="00FE1083" w:rsidRPr="00AA2EA0" w:rsidTr="00896E31">
        <w:tc>
          <w:tcPr>
            <w:tcW w:w="1109" w:type="dxa"/>
            <w:vAlign w:val="center"/>
          </w:tcPr>
          <w:p w:rsidR="00FE1083" w:rsidRDefault="00FE1083" w:rsidP="00394B1B">
            <w:pPr>
              <w:jc w:val="center"/>
              <w:rPr>
                <w:rFonts w:ascii="Times New Roman" w:hAnsi="Times New Roman" w:cs="Times New Roman"/>
              </w:rPr>
            </w:pPr>
          </w:p>
        </w:tc>
        <w:tc>
          <w:tcPr>
            <w:tcW w:w="1841" w:type="dxa"/>
            <w:vAlign w:val="center"/>
          </w:tcPr>
          <w:p w:rsidR="00FE1083" w:rsidRDefault="00FE1083" w:rsidP="00394B1B">
            <w:pPr>
              <w:jc w:val="center"/>
              <w:rPr>
                <w:rFonts w:ascii="Times New Roman" w:hAnsi="Times New Roman" w:cs="Times New Roman"/>
              </w:rPr>
            </w:pPr>
          </w:p>
        </w:tc>
        <w:tc>
          <w:tcPr>
            <w:tcW w:w="4109" w:type="dxa"/>
          </w:tcPr>
          <w:p w:rsidR="00FE1083" w:rsidRPr="00634B2B" w:rsidRDefault="00634B2B" w:rsidP="00F86272">
            <w:pPr>
              <w:pStyle w:val="Bezmezer"/>
              <w:ind w:left="63"/>
              <w:rPr>
                <w:rFonts w:ascii="Times New Roman" w:hAnsi="Times New Roman" w:cs="Times New Roman"/>
              </w:rPr>
            </w:pPr>
            <w:r w:rsidRPr="00634B2B">
              <w:rPr>
                <w:rFonts w:ascii="Times New Roman" w:hAnsi="Times New Roman" w:cs="Times New Roman"/>
                <w:lang w:val="en-GB"/>
              </w:rPr>
              <w:t xml:space="preserve">Nařízení Evropského parlamentu a Rady (EU) 2019/129 ze dne 16. ledna 2019 o změně nařízení (EU) č. 168/2013, pokud jde o používání úrovně Euro 5 u schvalování typu dvoukolových nebo </w:t>
            </w:r>
            <w:proofErr w:type="spellStart"/>
            <w:r w:rsidRPr="00634B2B">
              <w:rPr>
                <w:rFonts w:ascii="Times New Roman" w:hAnsi="Times New Roman" w:cs="Times New Roman"/>
                <w:lang w:val="en-GB"/>
              </w:rPr>
              <w:t>tříkolových</w:t>
            </w:r>
            <w:proofErr w:type="spellEnd"/>
            <w:r w:rsidRPr="00634B2B">
              <w:rPr>
                <w:rFonts w:ascii="Times New Roman" w:hAnsi="Times New Roman" w:cs="Times New Roman"/>
                <w:lang w:val="en-GB"/>
              </w:rPr>
              <w:t xml:space="preserve"> </w:t>
            </w:r>
            <w:proofErr w:type="spellStart"/>
            <w:r w:rsidRPr="00634B2B">
              <w:rPr>
                <w:rFonts w:ascii="Times New Roman" w:hAnsi="Times New Roman" w:cs="Times New Roman"/>
                <w:lang w:val="en-GB"/>
              </w:rPr>
              <w:t>vozidel</w:t>
            </w:r>
            <w:proofErr w:type="spellEnd"/>
            <w:r w:rsidRPr="00634B2B">
              <w:rPr>
                <w:rFonts w:ascii="Times New Roman" w:hAnsi="Times New Roman" w:cs="Times New Roman"/>
                <w:lang w:val="en-GB"/>
              </w:rPr>
              <w:t xml:space="preserve"> a </w:t>
            </w:r>
            <w:proofErr w:type="spellStart"/>
            <w:r w:rsidRPr="00634B2B">
              <w:rPr>
                <w:rFonts w:ascii="Times New Roman" w:hAnsi="Times New Roman" w:cs="Times New Roman"/>
                <w:lang w:val="en-GB"/>
              </w:rPr>
              <w:t>čtyřkolek</w:t>
            </w:r>
            <w:proofErr w:type="spellEnd"/>
          </w:p>
        </w:tc>
        <w:tc>
          <w:tcPr>
            <w:tcW w:w="1700" w:type="dxa"/>
          </w:tcPr>
          <w:p w:rsidR="00FE1083" w:rsidRDefault="00FE1083" w:rsidP="00394B1B">
            <w:pPr>
              <w:rPr>
                <w:rFonts w:ascii="Times New Roman" w:hAnsi="Times New Roman" w:cs="Times New Roman"/>
              </w:rPr>
            </w:pPr>
          </w:p>
        </w:tc>
        <w:tc>
          <w:tcPr>
            <w:tcW w:w="5553" w:type="dxa"/>
          </w:tcPr>
          <w:p w:rsidR="00FE1083" w:rsidRPr="00FE1083" w:rsidRDefault="00FE1083" w:rsidP="00FE1083">
            <w:pPr>
              <w:overflowPunct w:val="0"/>
              <w:autoSpaceDE w:val="0"/>
              <w:autoSpaceDN w:val="0"/>
              <w:adjustRightInd w:val="0"/>
              <w:jc w:val="both"/>
              <w:rPr>
                <w:rFonts w:ascii="Times New Roman" w:hAnsi="Times New Roman" w:cs="Times New Roman"/>
                <w:bCs/>
              </w:rPr>
            </w:pPr>
            <w:r w:rsidRPr="00FE1083">
              <w:rPr>
                <w:rFonts w:ascii="Times New Roman" w:hAnsi="Times New Roman" w:cs="Times New Roman"/>
                <w:bCs/>
              </w:rPr>
              <w:t>31. 01. 19 bylo nařízení publikováno jako nařízení EP a Rady v OJ EU pod číslem 2019/129.</w:t>
            </w:r>
          </w:p>
          <w:p w:rsidR="00FE1083" w:rsidRPr="00F86272" w:rsidRDefault="00FE1083" w:rsidP="00F86272">
            <w:pPr>
              <w:rPr>
                <w:rFonts w:ascii="Times New Roman" w:hAnsi="Times New Roman" w:cs="Times New Roman"/>
                <w:bCs/>
              </w:rPr>
            </w:pPr>
          </w:p>
        </w:tc>
      </w:tr>
    </w:tbl>
    <w:p w:rsidR="00092C30" w:rsidRPr="00AA2EA0" w:rsidRDefault="00FE1083" w:rsidP="00A35A4C">
      <w:pPr>
        <w:ind w:left="708" w:firstLine="708"/>
        <w:jc w:val="right"/>
        <w:rPr>
          <w:rFonts w:ascii="Times New Roman" w:hAnsi="Times New Roman" w:cs="Times New Roman"/>
        </w:rPr>
      </w:pPr>
      <w:bookmarkStart w:id="0" w:name="_GoBack"/>
      <w:bookmarkEnd w:id="0"/>
      <w:r>
        <w:rPr>
          <w:rFonts w:ascii="Times New Roman" w:hAnsi="Times New Roman" w:cs="Times New Roman"/>
        </w:rPr>
        <w:tab/>
      </w:r>
    </w:p>
    <w:sectPr w:rsidR="00092C30" w:rsidRPr="00AA2EA0" w:rsidSect="00AA2EA0">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1BF" w:rsidRDefault="000761BF" w:rsidP="00AA2EA0">
      <w:pPr>
        <w:spacing w:after="0" w:line="240" w:lineRule="auto"/>
      </w:pPr>
      <w:r>
        <w:separator/>
      </w:r>
    </w:p>
  </w:endnote>
  <w:endnote w:type="continuationSeparator" w:id="0">
    <w:p w:rsidR="000761BF" w:rsidRDefault="000761BF" w:rsidP="00AA2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1BF" w:rsidRDefault="000761BF" w:rsidP="00AA2EA0">
      <w:pPr>
        <w:spacing w:after="0" w:line="240" w:lineRule="auto"/>
      </w:pPr>
      <w:r>
        <w:separator/>
      </w:r>
    </w:p>
  </w:footnote>
  <w:footnote w:type="continuationSeparator" w:id="0">
    <w:p w:rsidR="000761BF" w:rsidRDefault="000761BF" w:rsidP="00AA2E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260"/>
      <w:gridCol w:w="4140"/>
      <w:gridCol w:w="1620"/>
      <w:gridCol w:w="6660"/>
    </w:tblGrid>
    <w:tr w:rsidR="00AA2EA0" w:rsidTr="000761BF">
      <w:trPr>
        <w:tblHeader/>
      </w:trPr>
      <w:tc>
        <w:tcPr>
          <w:tcW w:w="1368" w:type="dxa"/>
          <w:tcBorders>
            <w:top w:val="double" w:sz="4" w:space="0" w:color="auto"/>
            <w:left w:val="double" w:sz="4" w:space="0" w:color="auto"/>
            <w:bottom w:val="double" w:sz="4" w:space="0" w:color="auto"/>
            <w:right w:val="double" w:sz="4" w:space="0" w:color="auto"/>
          </w:tcBorders>
        </w:tcPr>
        <w:p w:rsidR="00AA2EA0" w:rsidRPr="00AA2EA0" w:rsidRDefault="00AA2EA0" w:rsidP="000761BF">
          <w:pPr>
            <w:keepNext/>
            <w:jc w:val="center"/>
            <w:rPr>
              <w:rFonts w:ascii="Times New Roman" w:hAnsi="Times New Roman" w:cs="Times New Roman"/>
              <w:b/>
              <w:sz w:val="28"/>
              <w:szCs w:val="28"/>
            </w:rPr>
          </w:pPr>
          <w:r w:rsidRPr="00AA2EA0">
            <w:rPr>
              <w:rFonts w:ascii="Times New Roman" w:hAnsi="Times New Roman" w:cs="Times New Roman"/>
              <w:b/>
              <w:sz w:val="28"/>
              <w:szCs w:val="28"/>
            </w:rPr>
            <w:t>Pracovní orgán Rady EU</w:t>
          </w:r>
        </w:p>
      </w:tc>
      <w:tc>
        <w:tcPr>
          <w:tcW w:w="1260" w:type="dxa"/>
          <w:tcBorders>
            <w:top w:val="double" w:sz="4" w:space="0" w:color="auto"/>
            <w:left w:val="double" w:sz="4" w:space="0" w:color="auto"/>
            <w:bottom w:val="double" w:sz="4" w:space="0" w:color="auto"/>
            <w:right w:val="double" w:sz="4" w:space="0" w:color="auto"/>
          </w:tcBorders>
        </w:tcPr>
        <w:p w:rsidR="00AA2EA0" w:rsidRPr="00AA2EA0" w:rsidRDefault="00AA2EA0" w:rsidP="000761BF">
          <w:pPr>
            <w:keepNext/>
            <w:jc w:val="center"/>
            <w:rPr>
              <w:rFonts w:ascii="Times New Roman" w:hAnsi="Times New Roman" w:cs="Times New Roman"/>
              <w:b/>
              <w:sz w:val="28"/>
              <w:szCs w:val="28"/>
            </w:rPr>
          </w:pPr>
          <w:r w:rsidRPr="00AA2EA0">
            <w:rPr>
              <w:rFonts w:ascii="Times New Roman" w:hAnsi="Times New Roman" w:cs="Times New Roman"/>
              <w:b/>
              <w:sz w:val="28"/>
              <w:szCs w:val="28"/>
            </w:rPr>
            <w:t>Datum jednání</w:t>
          </w:r>
        </w:p>
      </w:tc>
      <w:tc>
        <w:tcPr>
          <w:tcW w:w="4140" w:type="dxa"/>
          <w:tcBorders>
            <w:top w:val="double" w:sz="4" w:space="0" w:color="auto"/>
            <w:left w:val="double" w:sz="4" w:space="0" w:color="auto"/>
            <w:bottom w:val="double" w:sz="4" w:space="0" w:color="auto"/>
            <w:right w:val="double" w:sz="4" w:space="0" w:color="auto"/>
          </w:tcBorders>
        </w:tcPr>
        <w:p w:rsidR="00AA2EA0" w:rsidRPr="00AA2EA0" w:rsidRDefault="00AA2EA0" w:rsidP="000761BF">
          <w:pPr>
            <w:keepNext/>
            <w:jc w:val="center"/>
            <w:rPr>
              <w:rFonts w:ascii="Times New Roman" w:hAnsi="Times New Roman" w:cs="Times New Roman"/>
              <w:b/>
              <w:sz w:val="28"/>
              <w:szCs w:val="28"/>
            </w:rPr>
          </w:pPr>
          <w:r w:rsidRPr="00AA2EA0">
            <w:rPr>
              <w:rFonts w:ascii="Times New Roman" w:hAnsi="Times New Roman" w:cs="Times New Roman"/>
              <w:b/>
              <w:sz w:val="28"/>
              <w:szCs w:val="28"/>
            </w:rPr>
            <w:t>Projednávané dokumenty</w:t>
          </w:r>
        </w:p>
        <w:p w:rsidR="00AA2EA0" w:rsidRPr="00AA2EA0" w:rsidRDefault="00AA2EA0" w:rsidP="000761BF">
          <w:pPr>
            <w:keepNext/>
            <w:jc w:val="center"/>
            <w:rPr>
              <w:rFonts w:ascii="Times New Roman" w:hAnsi="Times New Roman" w:cs="Times New Roman"/>
              <w:b/>
              <w:sz w:val="28"/>
              <w:szCs w:val="28"/>
            </w:rPr>
          </w:pPr>
          <w:r w:rsidRPr="00AA2EA0">
            <w:rPr>
              <w:rFonts w:ascii="Times New Roman" w:hAnsi="Times New Roman" w:cs="Times New Roman"/>
              <w:sz w:val="20"/>
              <w:szCs w:val="20"/>
            </w:rPr>
            <w:t>(název uváděn v jazyce rozesílané pozvánky z důvodu snadnějšího vyhledávání v Extranetu apod.)</w:t>
          </w:r>
        </w:p>
      </w:tc>
      <w:tc>
        <w:tcPr>
          <w:tcW w:w="1620" w:type="dxa"/>
          <w:tcBorders>
            <w:top w:val="double" w:sz="4" w:space="0" w:color="auto"/>
            <w:left w:val="double" w:sz="4" w:space="0" w:color="auto"/>
            <w:bottom w:val="double" w:sz="4" w:space="0" w:color="auto"/>
            <w:right w:val="double" w:sz="4" w:space="0" w:color="auto"/>
          </w:tcBorders>
        </w:tcPr>
        <w:p w:rsidR="00AA2EA0" w:rsidRPr="00AA2EA0" w:rsidRDefault="00AA2EA0" w:rsidP="000761BF">
          <w:pPr>
            <w:keepNext/>
            <w:jc w:val="center"/>
            <w:rPr>
              <w:rFonts w:ascii="Times New Roman" w:hAnsi="Times New Roman" w:cs="Times New Roman"/>
              <w:b/>
              <w:sz w:val="28"/>
              <w:szCs w:val="28"/>
            </w:rPr>
          </w:pPr>
          <w:r w:rsidRPr="00AA2EA0">
            <w:rPr>
              <w:rFonts w:ascii="Times New Roman" w:hAnsi="Times New Roman" w:cs="Times New Roman"/>
              <w:b/>
              <w:sz w:val="28"/>
              <w:szCs w:val="28"/>
            </w:rPr>
            <w:t>Účastník</w:t>
          </w:r>
        </w:p>
      </w:tc>
      <w:tc>
        <w:tcPr>
          <w:tcW w:w="6660" w:type="dxa"/>
          <w:tcBorders>
            <w:top w:val="double" w:sz="4" w:space="0" w:color="auto"/>
            <w:left w:val="double" w:sz="4" w:space="0" w:color="auto"/>
            <w:bottom w:val="double" w:sz="4" w:space="0" w:color="auto"/>
            <w:right w:val="double" w:sz="4" w:space="0" w:color="auto"/>
          </w:tcBorders>
        </w:tcPr>
        <w:p w:rsidR="00AA2EA0" w:rsidRPr="00AA2EA0" w:rsidRDefault="00AA2EA0" w:rsidP="000761BF">
          <w:pPr>
            <w:keepNext/>
            <w:jc w:val="center"/>
            <w:rPr>
              <w:rFonts w:ascii="Times New Roman" w:hAnsi="Times New Roman" w:cs="Times New Roman"/>
              <w:b/>
              <w:sz w:val="28"/>
              <w:szCs w:val="28"/>
            </w:rPr>
          </w:pPr>
          <w:r w:rsidRPr="00AA2EA0">
            <w:rPr>
              <w:rFonts w:ascii="Times New Roman" w:hAnsi="Times New Roman" w:cs="Times New Roman"/>
              <w:b/>
              <w:sz w:val="28"/>
              <w:szCs w:val="28"/>
            </w:rPr>
            <w:t>Stručný popis stavu projednávání</w:t>
          </w:r>
        </w:p>
      </w:tc>
    </w:tr>
  </w:tbl>
  <w:p w:rsidR="00AA2EA0" w:rsidRDefault="00AA2EA0">
    <w:pPr>
      <w:pStyle w:val="Zhlav"/>
    </w:pPr>
  </w:p>
  <w:p w:rsidR="00AA2EA0" w:rsidRDefault="00AA2EA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870FA"/>
    <w:multiLevelType w:val="hybridMultilevel"/>
    <w:tmpl w:val="D030442A"/>
    <w:lvl w:ilvl="0" w:tplc="3F702CD6">
      <w:start w:val="20"/>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26B7001"/>
    <w:multiLevelType w:val="hybridMultilevel"/>
    <w:tmpl w:val="43941552"/>
    <w:lvl w:ilvl="0" w:tplc="04050001">
      <w:start w:val="1"/>
      <w:numFmt w:val="bullet"/>
      <w:lvlText w:val=""/>
      <w:lvlJc w:val="left"/>
      <w:pPr>
        <w:ind w:left="783" w:hanging="360"/>
      </w:pPr>
      <w:rPr>
        <w:rFonts w:ascii="Symbol" w:hAnsi="Symbol" w:hint="default"/>
      </w:rPr>
    </w:lvl>
    <w:lvl w:ilvl="1" w:tplc="04050003" w:tentative="1">
      <w:start w:val="1"/>
      <w:numFmt w:val="bullet"/>
      <w:lvlText w:val="o"/>
      <w:lvlJc w:val="left"/>
      <w:pPr>
        <w:ind w:left="1503" w:hanging="360"/>
      </w:pPr>
      <w:rPr>
        <w:rFonts w:ascii="Courier New" w:hAnsi="Courier New" w:cs="Courier New" w:hint="default"/>
      </w:rPr>
    </w:lvl>
    <w:lvl w:ilvl="2" w:tplc="04050005" w:tentative="1">
      <w:start w:val="1"/>
      <w:numFmt w:val="bullet"/>
      <w:lvlText w:val=""/>
      <w:lvlJc w:val="left"/>
      <w:pPr>
        <w:ind w:left="2223" w:hanging="360"/>
      </w:pPr>
      <w:rPr>
        <w:rFonts w:ascii="Wingdings" w:hAnsi="Wingdings" w:hint="default"/>
      </w:rPr>
    </w:lvl>
    <w:lvl w:ilvl="3" w:tplc="04050001" w:tentative="1">
      <w:start w:val="1"/>
      <w:numFmt w:val="bullet"/>
      <w:lvlText w:val=""/>
      <w:lvlJc w:val="left"/>
      <w:pPr>
        <w:ind w:left="2943" w:hanging="360"/>
      </w:pPr>
      <w:rPr>
        <w:rFonts w:ascii="Symbol" w:hAnsi="Symbol" w:hint="default"/>
      </w:rPr>
    </w:lvl>
    <w:lvl w:ilvl="4" w:tplc="04050003" w:tentative="1">
      <w:start w:val="1"/>
      <w:numFmt w:val="bullet"/>
      <w:lvlText w:val="o"/>
      <w:lvlJc w:val="left"/>
      <w:pPr>
        <w:ind w:left="3663" w:hanging="360"/>
      </w:pPr>
      <w:rPr>
        <w:rFonts w:ascii="Courier New" w:hAnsi="Courier New" w:cs="Courier New" w:hint="default"/>
      </w:rPr>
    </w:lvl>
    <w:lvl w:ilvl="5" w:tplc="04050005" w:tentative="1">
      <w:start w:val="1"/>
      <w:numFmt w:val="bullet"/>
      <w:lvlText w:val=""/>
      <w:lvlJc w:val="left"/>
      <w:pPr>
        <w:ind w:left="4383" w:hanging="360"/>
      </w:pPr>
      <w:rPr>
        <w:rFonts w:ascii="Wingdings" w:hAnsi="Wingdings" w:hint="default"/>
      </w:rPr>
    </w:lvl>
    <w:lvl w:ilvl="6" w:tplc="04050001" w:tentative="1">
      <w:start w:val="1"/>
      <w:numFmt w:val="bullet"/>
      <w:lvlText w:val=""/>
      <w:lvlJc w:val="left"/>
      <w:pPr>
        <w:ind w:left="5103" w:hanging="360"/>
      </w:pPr>
      <w:rPr>
        <w:rFonts w:ascii="Symbol" w:hAnsi="Symbol" w:hint="default"/>
      </w:rPr>
    </w:lvl>
    <w:lvl w:ilvl="7" w:tplc="04050003" w:tentative="1">
      <w:start w:val="1"/>
      <w:numFmt w:val="bullet"/>
      <w:lvlText w:val="o"/>
      <w:lvlJc w:val="left"/>
      <w:pPr>
        <w:ind w:left="5823" w:hanging="360"/>
      </w:pPr>
      <w:rPr>
        <w:rFonts w:ascii="Courier New" w:hAnsi="Courier New" w:cs="Courier New" w:hint="default"/>
      </w:rPr>
    </w:lvl>
    <w:lvl w:ilvl="8" w:tplc="04050005" w:tentative="1">
      <w:start w:val="1"/>
      <w:numFmt w:val="bullet"/>
      <w:lvlText w:val=""/>
      <w:lvlJc w:val="left"/>
      <w:pPr>
        <w:ind w:left="6543" w:hanging="360"/>
      </w:pPr>
      <w:rPr>
        <w:rFonts w:ascii="Wingdings" w:hAnsi="Wingdings" w:hint="default"/>
      </w:rPr>
    </w:lvl>
  </w:abstractNum>
  <w:abstractNum w:abstractNumId="2" w15:restartNumberingAfterBreak="0">
    <w:nsid w:val="066B5A68"/>
    <w:multiLevelType w:val="singleLevel"/>
    <w:tmpl w:val="8B0853B0"/>
    <w:lvl w:ilvl="0">
      <w:start w:val="1"/>
      <w:numFmt w:val="bullet"/>
      <w:lvlRestart w:val="0"/>
      <w:lvlText w:val="–"/>
      <w:lvlJc w:val="left"/>
      <w:pPr>
        <w:tabs>
          <w:tab w:val="num" w:pos="1134"/>
        </w:tabs>
        <w:ind w:left="1134" w:hanging="567"/>
      </w:pPr>
      <w:rPr>
        <w:bdr w:val="none" w:sz="0" w:space="0" w:color="auto"/>
      </w:rPr>
    </w:lvl>
  </w:abstractNum>
  <w:abstractNum w:abstractNumId="3" w15:restartNumberingAfterBreak="0">
    <w:nsid w:val="0EF17420"/>
    <w:multiLevelType w:val="hybridMultilevel"/>
    <w:tmpl w:val="DC265ED8"/>
    <w:lvl w:ilvl="0" w:tplc="9DB6B7DA">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EE570EF"/>
    <w:multiLevelType w:val="hybridMultilevel"/>
    <w:tmpl w:val="F1C0EFBC"/>
    <w:lvl w:ilvl="0" w:tplc="23468F32">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165621D"/>
    <w:multiLevelType w:val="hybridMultilevel"/>
    <w:tmpl w:val="FB883F7A"/>
    <w:lvl w:ilvl="0" w:tplc="44B649AE">
      <w:numFmt w:val="bullet"/>
      <w:lvlText w:val="-"/>
      <w:lvlJc w:val="left"/>
      <w:pPr>
        <w:ind w:left="708" w:hanging="645"/>
      </w:pPr>
      <w:rPr>
        <w:rFonts w:ascii="Times New Roman" w:eastAsiaTheme="minorHAnsi" w:hAnsi="Times New Roman" w:cs="Times New Roman" w:hint="default"/>
      </w:rPr>
    </w:lvl>
    <w:lvl w:ilvl="1" w:tplc="04050003" w:tentative="1">
      <w:start w:val="1"/>
      <w:numFmt w:val="bullet"/>
      <w:lvlText w:val="o"/>
      <w:lvlJc w:val="left"/>
      <w:pPr>
        <w:ind w:left="1143" w:hanging="360"/>
      </w:pPr>
      <w:rPr>
        <w:rFonts w:ascii="Courier New" w:hAnsi="Courier New" w:cs="Courier New" w:hint="default"/>
      </w:rPr>
    </w:lvl>
    <w:lvl w:ilvl="2" w:tplc="04050005" w:tentative="1">
      <w:start w:val="1"/>
      <w:numFmt w:val="bullet"/>
      <w:lvlText w:val=""/>
      <w:lvlJc w:val="left"/>
      <w:pPr>
        <w:ind w:left="1863" w:hanging="360"/>
      </w:pPr>
      <w:rPr>
        <w:rFonts w:ascii="Wingdings" w:hAnsi="Wingdings" w:hint="default"/>
      </w:rPr>
    </w:lvl>
    <w:lvl w:ilvl="3" w:tplc="04050001" w:tentative="1">
      <w:start w:val="1"/>
      <w:numFmt w:val="bullet"/>
      <w:lvlText w:val=""/>
      <w:lvlJc w:val="left"/>
      <w:pPr>
        <w:ind w:left="2583" w:hanging="360"/>
      </w:pPr>
      <w:rPr>
        <w:rFonts w:ascii="Symbol" w:hAnsi="Symbol" w:hint="default"/>
      </w:rPr>
    </w:lvl>
    <w:lvl w:ilvl="4" w:tplc="04050003" w:tentative="1">
      <w:start w:val="1"/>
      <w:numFmt w:val="bullet"/>
      <w:lvlText w:val="o"/>
      <w:lvlJc w:val="left"/>
      <w:pPr>
        <w:ind w:left="3303" w:hanging="360"/>
      </w:pPr>
      <w:rPr>
        <w:rFonts w:ascii="Courier New" w:hAnsi="Courier New" w:cs="Courier New" w:hint="default"/>
      </w:rPr>
    </w:lvl>
    <w:lvl w:ilvl="5" w:tplc="04050005" w:tentative="1">
      <w:start w:val="1"/>
      <w:numFmt w:val="bullet"/>
      <w:lvlText w:val=""/>
      <w:lvlJc w:val="left"/>
      <w:pPr>
        <w:ind w:left="4023" w:hanging="360"/>
      </w:pPr>
      <w:rPr>
        <w:rFonts w:ascii="Wingdings" w:hAnsi="Wingdings" w:hint="default"/>
      </w:rPr>
    </w:lvl>
    <w:lvl w:ilvl="6" w:tplc="04050001" w:tentative="1">
      <w:start w:val="1"/>
      <w:numFmt w:val="bullet"/>
      <w:lvlText w:val=""/>
      <w:lvlJc w:val="left"/>
      <w:pPr>
        <w:ind w:left="4743" w:hanging="360"/>
      </w:pPr>
      <w:rPr>
        <w:rFonts w:ascii="Symbol" w:hAnsi="Symbol" w:hint="default"/>
      </w:rPr>
    </w:lvl>
    <w:lvl w:ilvl="7" w:tplc="04050003" w:tentative="1">
      <w:start w:val="1"/>
      <w:numFmt w:val="bullet"/>
      <w:lvlText w:val="o"/>
      <w:lvlJc w:val="left"/>
      <w:pPr>
        <w:ind w:left="5463" w:hanging="360"/>
      </w:pPr>
      <w:rPr>
        <w:rFonts w:ascii="Courier New" w:hAnsi="Courier New" w:cs="Courier New" w:hint="default"/>
      </w:rPr>
    </w:lvl>
    <w:lvl w:ilvl="8" w:tplc="04050005" w:tentative="1">
      <w:start w:val="1"/>
      <w:numFmt w:val="bullet"/>
      <w:lvlText w:val=""/>
      <w:lvlJc w:val="left"/>
      <w:pPr>
        <w:ind w:left="6183" w:hanging="360"/>
      </w:pPr>
      <w:rPr>
        <w:rFonts w:ascii="Wingdings" w:hAnsi="Wingdings" w:hint="default"/>
      </w:rPr>
    </w:lvl>
  </w:abstractNum>
  <w:abstractNum w:abstractNumId="6" w15:restartNumberingAfterBreak="0">
    <w:nsid w:val="26EA2481"/>
    <w:multiLevelType w:val="hybridMultilevel"/>
    <w:tmpl w:val="3520958C"/>
    <w:lvl w:ilvl="0" w:tplc="3F702CD6">
      <w:start w:val="20"/>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F296E77"/>
    <w:multiLevelType w:val="multilevel"/>
    <w:tmpl w:val="1B96AD68"/>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8" w15:restartNumberingAfterBreak="0">
    <w:nsid w:val="3ABA3F00"/>
    <w:multiLevelType w:val="hybridMultilevel"/>
    <w:tmpl w:val="592A20F0"/>
    <w:lvl w:ilvl="0" w:tplc="3F702CD6">
      <w:start w:val="20"/>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1773940"/>
    <w:multiLevelType w:val="hybridMultilevel"/>
    <w:tmpl w:val="F16C7A98"/>
    <w:lvl w:ilvl="0" w:tplc="B23AC7EE">
      <w:start w:val="1"/>
      <w:numFmt w:val="decimal"/>
      <w:lvlText w:val="%1."/>
      <w:lvlJc w:val="left"/>
      <w:pPr>
        <w:ind w:left="360" w:hanging="360"/>
      </w:pPr>
      <w:rPr>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42307705"/>
    <w:multiLevelType w:val="hybridMultilevel"/>
    <w:tmpl w:val="A4A843FC"/>
    <w:lvl w:ilvl="0" w:tplc="44B649AE">
      <w:numFmt w:val="bullet"/>
      <w:lvlText w:val="-"/>
      <w:lvlJc w:val="left"/>
      <w:pPr>
        <w:ind w:left="708" w:hanging="64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3B35A1E"/>
    <w:multiLevelType w:val="hybridMultilevel"/>
    <w:tmpl w:val="0210963E"/>
    <w:lvl w:ilvl="0" w:tplc="44B649AE">
      <w:numFmt w:val="bullet"/>
      <w:lvlText w:val="-"/>
      <w:lvlJc w:val="left"/>
      <w:pPr>
        <w:ind w:left="708" w:hanging="64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BF3669F"/>
    <w:multiLevelType w:val="hybridMultilevel"/>
    <w:tmpl w:val="4F5E1F8E"/>
    <w:lvl w:ilvl="0" w:tplc="44B649AE">
      <w:numFmt w:val="bullet"/>
      <w:lvlText w:val="-"/>
      <w:lvlJc w:val="left"/>
      <w:pPr>
        <w:ind w:left="708" w:hanging="64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E762EA4"/>
    <w:multiLevelType w:val="hybridMultilevel"/>
    <w:tmpl w:val="58320A16"/>
    <w:lvl w:ilvl="0" w:tplc="02F6FB38">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68A1BA5"/>
    <w:multiLevelType w:val="hybridMultilevel"/>
    <w:tmpl w:val="999EF090"/>
    <w:lvl w:ilvl="0" w:tplc="FDCC48CE">
      <w:start w:val="28"/>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B254627"/>
    <w:multiLevelType w:val="hybridMultilevel"/>
    <w:tmpl w:val="1C844B1A"/>
    <w:lvl w:ilvl="0" w:tplc="FB0228E4">
      <w:start w:val="5"/>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DAA507D"/>
    <w:multiLevelType w:val="hybridMultilevel"/>
    <w:tmpl w:val="038C627C"/>
    <w:lvl w:ilvl="0" w:tplc="FB0228E4">
      <w:start w:val="5"/>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31962F6"/>
    <w:multiLevelType w:val="hybridMultilevel"/>
    <w:tmpl w:val="A6268A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4A41B13"/>
    <w:multiLevelType w:val="singleLevel"/>
    <w:tmpl w:val="2EC82C78"/>
    <w:name w:val="Dash 1"/>
    <w:lvl w:ilvl="0">
      <w:start w:val="1"/>
      <w:numFmt w:val="bullet"/>
      <w:lvlRestart w:val="0"/>
      <w:pStyle w:val="Dash1"/>
      <w:lvlText w:val="–"/>
      <w:lvlJc w:val="left"/>
      <w:pPr>
        <w:tabs>
          <w:tab w:val="num" w:pos="1134"/>
        </w:tabs>
        <w:ind w:left="1134" w:hanging="567"/>
      </w:pPr>
    </w:lvl>
  </w:abstractNum>
  <w:num w:numId="1">
    <w:abstractNumId w:val="18"/>
  </w:num>
  <w:num w:numId="2">
    <w:abstractNumId w:val="7"/>
  </w:num>
  <w:num w:numId="3">
    <w:abstractNumId w:val="14"/>
  </w:num>
  <w:num w:numId="4">
    <w:abstractNumId w:val="16"/>
  </w:num>
  <w:num w:numId="5">
    <w:abstractNumId w:val="13"/>
  </w:num>
  <w:num w:numId="6">
    <w:abstractNumId w:val="15"/>
  </w:num>
  <w:num w:numId="7">
    <w:abstractNumId w:val="3"/>
  </w:num>
  <w:num w:numId="8">
    <w:abstractNumId w:val="18"/>
  </w:num>
  <w:num w:numId="9">
    <w:abstractNumId w:val="8"/>
  </w:num>
  <w:num w:numId="10">
    <w:abstractNumId w:val="6"/>
  </w:num>
  <w:num w:numId="11">
    <w:abstractNumId w:val="0"/>
  </w:num>
  <w:num w:numId="12">
    <w:abstractNumId w:val="2"/>
    <w:lvlOverride w:ilvl="0">
      <w:startOverride w:val="1"/>
    </w:lvlOverride>
  </w:num>
  <w:num w:numId="13">
    <w:abstractNumId w:val="2"/>
  </w:num>
  <w:num w:numId="14">
    <w:abstractNumId w:val="4"/>
  </w:num>
  <w:num w:numId="15">
    <w:abstractNumId w:val="17"/>
  </w:num>
  <w:num w:numId="16">
    <w:abstractNumId w:val="1"/>
  </w:num>
  <w:num w:numId="17">
    <w:abstractNumId w:val="5"/>
  </w:num>
  <w:num w:numId="18">
    <w:abstractNumId w:val="10"/>
  </w:num>
  <w:num w:numId="19">
    <w:abstractNumId w:val="12"/>
  </w:num>
  <w:num w:numId="20">
    <w:abstractNumId w:val="11"/>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EA0"/>
    <w:rsid w:val="00033D7B"/>
    <w:rsid w:val="000353B0"/>
    <w:rsid w:val="00057A77"/>
    <w:rsid w:val="000761BF"/>
    <w:rsid w:val="00092C30"/>
    <w:rsid w:val="000A6215"/>
    <w:rsid w:val="000B5E08"/>
    <w:rsid w:val="00100998"/>
    <w:rsid w:val="00131AB0"/>
    <w:rsid w:val="001426A6"/>
    <w:rsid w:val="0016210C"/>
    <w:rsid w:val="00162B1A"/>
    <w:rsid w:val="001D3C39"/>
    <w:rsid w:val="0020601C"/>
    <w:rsid w:val="002160FC"/>
    <w:rsid w:val="00220EB1"/>
    <w:rsid w:val="00247805"/>
    <w:rsid w:val="00252932"/>
    <w:rsid w:val="0029303D"/>
    <w:rsid w:val="002B0D3C"/>
    <w:rsid w:val="002C16CC"/>
    <w:rsid w:val="002E0F6F"/>
    <w:rsid w:val="003067F7"/>
    <w:rsid w:val="003400AC"/>
    <w:rsid w:val="00340C5D"/>
    <w:rsid w:val="003527C7"/>
    <w:rsid w:val="003531B0"/>
    <w:rsid w:val="00394B1B"/>
    <w:rsid w:val="00396105"/>
    <w:rsid w:val="003A29FA"/>
    <w:rsid w:val="003C2C18"/>
    <w:rsid w:val="003C7DA8"/>
    <w:rsid w:val="004117D8"/>
    <w:rsid w:val="00416E9E"/>
    <w:rsid w:val="00433E23"/>
    <w:rsid w:val="00443D96"/>
    <w:rsid w:val="00452169"/>
    <w:rsid w:val="004A6F12"/>
    <w:rsid w:val="004E683D"/>
    <w:rsid w:val="00523980"/>
    <w:rsid w:val="005A749A"/>
    <w:rsid w:val="005C4C31"/>
    <w:rsid w:val="005D546C"/>
    <w:rsid w:val="005D7190"/>
    <w:rsid w:val="005E6E83"/>
    <w:rsid w:val="005E7A87"/>
    <w:rsid w:val="00600467"/>
    <w:rsid w:val="00614B61"/>
    <w:rsid w:val="00634B2B"/>
    <w:rsid w:val="006B5B25"/>
    <w:rsid w:val="006C221F"/>
    <w:rsid w:val="00730A23"/>
    <w:rsid w:val="00734E82"/>
    <w:rsid w:val="0076590F"/>
    <w:rsid w:val="007A5E40"/>
    <w:rsid w:val="007D1EFC"/>
    <w:rsid w:val="007D762C"/>
    <w:rsid w:val="007E17FD"/>
    <w:rsid w:val="007E6B60"/>
    <w:rsid w:val="007E7946"/>
    <w:rsid w:val="007F7E6A"/>
    <w:rsid w:val="00805582"/>
    <w:rsid w:val="00830E2D"/>
    <w:rsid w:val="00896E31"/>
    <w:rsid w:val="008B073F"/>
    <w:rsid w:val="008D0E43"/>
    <w:rsid w:val="008E6AD4"/>
    <w:rsid w:val="009213AE"/>
    <w:rsid w:val="00935B11"/>
    <w:rsid w:val="00954567"/>
    <w:rsid w:val="00967C5E"/>
    <w:rsid w:val="00972C1E"/>
    <w:rsid w:val="00984EB4"/>
    <w:rsid w:val="00990DB7"/>
    <w:rsid w:val="009C3DB2"/>
    <w:rsid w:val="00A131A2"/>
    <w:rsid w:val="00A261E9"/>
    <w:rsid w:val="00A35A4C"/>
    <w:rsid w:val="00A4284B"/>
    <w:rsid w:val="00A752B0"/>
    <w:rsid w:val="00A80CC9"/>
    <w:rsid w:val="00AA216B"/>
    <w:rsid w:val="00AA2EA0"/>
    <w:rsid w:val="00AB2759"/>
    <w:rsid w:val="00AC60D3"/>
    <w:rsid w:val="00AE1400"/>
    <w:rsid w:val="00B33B9A"/>
    <w:rsid w:val="00B96CD2"/>
    <w:rsid w:val="00B97F42"/>
    <w:rsid w:val="00BA3ED7"/>
    <w:rsid w:val="00BD34ED"/>
    <w:rsid w:val="00BE7027"/>
    <w:rsid w:val="00C814DD"/>
    <w:rsid w:val="00C92341"/>
    <w:rsid w:val="00CB25E3"/>
    <w:rsid w:val="00CB3F8F"/>
    <w:rsid w:val="00CC7E97"/>
    <w:rsid w:val="00D020E1"/>
    <w:rsid w:val="00D7430A"/>
    <w:rsid w:val="00D74A38"/>
    <w:rsid w:val="00D96C36"/>
    <w:rsid w:val="00DB7ABA"/>
    <w:rsid w:val="00DE2585"/>
    <w:rsid w:val="00DF32E0"/>
    <w:rsid w:val="00E607B9"/>
    <w:rsid w:val="00E7304C"/>
    <w:rsid w:val="00EC1D1F"/>
    <w:rsid w:val="00EC6357"/>
    <w:rsid w:val="00EE2A75"/>
    <w:rsid w:val="00F02856"/>
    <w:rsid w:val="00F03FF8"/>
    <w:rsid w:val="00F04BCF"/>
    <w:rsid w:val="00F0734D"/>
    <w:rsid w:val="00F13574"/>
    <w:rsid w:val="00F4149B"/>
    <w:rsid w:val="00F45856"/>
    <w:rsid w:val="00F45F21"/>
    <w:rsid w:val="00F520AC"/>
    <w:rsid w:val="00F77F65"/>
    <w:rsid w:val="00F86272"/>
    <w:rsid w:val="00FE1083"/>
    <w:rsid w:val="00FE32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5:docId w15:val="{A66E920E-175E-490F-AB89-B9CBE1691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A2EA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A2EA0"/>
  </w:style>
  <w:style w:type="paragraph" w:styleId="Zpat">
    <w:name w:val="footer"/>
    <w:basedOn w:val="Normln"/>
    <w:link w:val="ZpatChar"/>
    <w:uiPriority w:val="99"/>
    <w:unhideWhenUsed/>
    <w:rsid w:val="00AA2EA0"/>
    <w:pPr>
      <w:tabs>
        <w:tab w:val="center" w:pos="4536"/>
        <w:tab w:val="right" w:pos="9072"/>
      </w:tabs>
      <w:spacing w:after="0" w:line="240" w:lineRule="auto"/>
    </w:pPr>
  </w:style>
  <w:style w:type="character" w:customStyle="1" w:styleId="ZpatChar">
    <w:name w:val="Zápatí Char"/>
    <w:basedOn w:val="Standardnpsmoodstavce"/>
    <w:link w:val="Zpat"/>
    <w:uiPriority w:val="99"/>
    <w:rsid w:val="00AA2EA0"/>
  </w:style>
  <w:style w:type="paragraph" w:styleId="Textbubliny">
    <w:name w:val="Balloon Text"/>
    <w:basedOn w:val="Normln"/>
    <w:link w:val="TextbublinyChar"/>
    <w:uiPriority w:val="99"/>
    <w:semiHidden/>
    <w:unhideWhenUsed/>
    <w:rsid w:val="00AA2EA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A2EA0"/>
    <w:rPr>
      <w:rFonts w:ascii="Tahoma" w:hAnsi="Tahoma" w:cs="Tahoma"/>
      <w:sz w:val="16"/>
      <w:szCs w:val="16"/>
    </w:rPr>
  </w:style>
  <w:style w:type="table" w:styleId="Mkatabulky">
    <w:name w:val="Table Grid"/>
    <w:basedOn w:val="Normlntabulka"/>
    <w:uiPriority w:val="59"/>
    <w:rsid w:val="00AA2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ln"/>
    <w:rsid w:val="00AA2EA0"/>
    <w:pPr>
      <w:spacing w:after="0" w:line="240" w:lineRule="auto"/>
      <w:ind w:left="567"/>
      <w:outlineLvl w:val="0"/>
    </w:pPr>
    <w:rPr>
      <w:rFonts w:ascii="Times New Roman" w:eastAsia="Times New Roman" w:hAnsi="Times New Roman" w:cs="Times New Roman"/>
      <w:sz w:val="24"/>
      <w:szCs w:val="24"/>
      <w:lang w:val="en-GB"/>
    </w:rPr>
  </w:style>
  <w:style w:type="paragraph" w:customStyle="1" w:styleId="Pointabc">
    <w:name w:val="Point abc"/>
    <w:basedOn w:val="Normln"/>
    <w:rsid w:val="00AA2EA0"/>
    <w:pPr>
      <w:numPr>
        <w:ilvl w:val="1"/>
        <w:numId w:val="2"/>
      </w:numPr>
      <w:spacing w:before="200" w:after="0" w:line="240" w:lineRule="auto"/>
    </w:pPr>
    <w:rPr>
      <w:rFonts w:ascii="Times New Roman" w:eastAsia="Times New Roman" w:hAnsi="Times New Roman" w:cs="Times New Roman"/>
      <w:sz w:val="24"/>
      <w:szCs w:val="24"/>
      <w:lang w:val="en-GB"/>
    </w:rPr>
  </w:style>
  <w:style w:type="paragraph" w:customStyle="1" w:styleId="Pointabc1">
    <w:name w:val="Point abc (1)"/>
    <w:basedOn w:val="Normln"/>
    <w:rsid w:val="00AA2EA0"/>
    <w:pPr>
      <w:numPr>
        <w:ilvl w:val="3"/>
        <w:numId w:val="2"/>
      </w:numPr>
      <w:spacing w:after="0" w:line="240" w:lineRule="auto"/>
      <w:outlineLvl w:val="0"/>
    </w:pPr>
    <w:rPr>
      <w:rFonts w:ascii="Times New Roman" w:eastAsia="Times New Roman" w:hAnsi="Times New Roman" w:cs="Times New Roman"/>
      <w:sz w:val="24"/>
      <w:szCs w:val="24"/>
      <w:lang w:val="en-GB"/>
    </w:rPr>
  </w:style>
  <w:style w:type="paragraph" w:customStyle="1" w:styleId="Pointabc2">
    <w:name w:val="Point abc (2)"/>
    <w:basedOn w:val="Normln"/>
    <w:rsid w:val="00AA2EA0"/>
    <w:pPr>
      <w:numPr>
        <w:ilvl w:val="5"/>
        <w:numId w:val="2"/>
      </w:numPr>
      <w:spacing w:after="0" w:line="240" w:lineRule="auto"/>
      <w:outlineLvl w:val="1"/>
    </w:pPr>
    <w:rPr>
      <w:rFonts w:ascii="Times New Roman" w:eastAsia="Times New Roman" w:hAnsi="Times New Roman" w:cs="Times New Roman"/>
      <w:sz w:val="24"/>
      <w:szCs w:val="24"/>
      <w:lang w:val="en-GB"/>
    </w:rPr>
  </w:style>
  <w:style w:type="paragraph" w:customStyle="1" w:styleId="Pointabc3">
    <w:name w:val="Point abc (3)"/>
    <w:basedOn w:val="Normln"/>
    <w:rsid w:val="00AA2EA0"/>
    <w:pPr>
      <w:numPr>
        <w:ilvl w:val="7"/>
        <w:numId w:val="2"/>
      </w:numPr>
      <w:spacing w:after="0" w:line="240" w:lineRule="auto"/>
      <w:outlineLvl w:val="2"/>
    </w:pPr>
    <w:rPr>
      <w:rFonts w:ascii="Times New Roman" w:eastAsia="Times New Roman" w:hAnsi="Times New Roman" w:cs="Times New Roman"/>
      <w:sz w:val="24"/>
      <w:szCs w:val="24"/>
      <w:lang w:val="en-GB"/>
    </w:rPr>
  </w:style>
  <w:style w:type="paragraph" w:customStyle="1" w:styleId="Pointabc4">
    <w:name w:val="Point abc (4)"/>
    <w:basedOn w:val="Normln"/>
    <w:rsid w:val="00AA2EA0"/>
    <w:pPr>
      <w:numPr>
        <w:ilvl w:val="8"/>
        <w:numId w:val="2"/>
      </w:numPr>
      <w:spacing w:after="0" w:line="240" w:lineRule="auto"/>
      <w:outlineLvl w:val="3"/>
    </w:pPr>
    <w:rPr>
      <w:rFonts w:ascii="Times New Roman" w:eastAsia="Times New Roman" w:hAnsi="Times New Roman" w:cs="Times New Roman"/>
      <w:sz w:val="24"/>
      <w:szCs w:val="24"/>
      <w:lang w:val="en-GB"/>
    </w:rPr>
  </w:style>
  <w:style w:type="paragraph" w:customStyle="1" w:styleId="Point123">
    <w:name w:val="Point 123"/>
    <w:basedOn w:val="Normln"/>
    <w:rsid w:val="00AA2EA0"/>
    <w:pPr>
      <w:numPr>
        <w:numId w:val="2"/>
      </w:numPr>
      <w:spacing w:before="200" w:after="0" w:line="240" w:lineRule="auto"/>
    </w:pPr>
    <w:rPr>
      <w:rFonts w:ascii="Times New Roman" w:eastAsia="Times New Roman" w:hAnsi="Times New Roman" w:cs="Times New Roman"/>
      <w:sz w:val="24"/>
      <w:szCs w:val="24"/>
      <w:lang w:val="en-GB"/>
    </w:rPr>
  </w:style>
  <w:style w:type="paragraph" w:customStyle="1" w:styleId="Point1231">
    <w:name w:val="Point 123 (1)"/>
    <w:basedOn w:val="Normln"/>
    <w:rsid w:val="00AA2EA0"/>
    <w:pPr>
      <w:numPr>
        <w:ilvl w:val="2"/>
        <w:numId w:val="2"/>
      </w:numPr>
      <w:spacing w:after="0" w:line="240" w:lineRule="auto"/>
      <w:outlineLvl w:val="0"/>
    </w:pPr>
    <w:rPr>
      <w:rFonts w:ascii="Times New Roman" w:eastAsia="Times New Roman" w:hAnsi="Times New Roman" w:cs="Times New Roman"/>
      <w:sz w:val="24"/>
      <w:szCs w:val="24"/>
      <w:lang w:val="en-GB"/>
    </w:rPr>
  </w:style>
  <w:style w:type="paragraph" w:customStyle="1" w:styleId="Point1232">
    <w:name w:val="Point 123 (2)"/>
    <w:basedOn w:val="Normln"/>
    <w:rsid w:val="00AA2EA0"/>
    <w:pPr>
      <w:numPr>
        <w:ilvl w:val="4"/>
        <w:numId w:val="2"/>
      </w:numPr>
      <w:spacing w:after="0" w:line="240" w:lineRule="auto"/>
      <w:outlineLvl w:val="1"/>
    </w:pPr>
    <w:rPr>
      <w:rFonts w:ascii="Times New Roman" w:eastAsia="Times New Roman" w:hAnsi="Times New Roman" w:cs="Times New Roman"/>
      <w:sz w:val="24"/>
      <w:szCs w:val="24"/>
      <w:lang w:val="en-GB"/>
    </w:rPr>
  </w:style>
  <w:style w:type="paragraph" w:customStyle="1" w:styleId="Point1233">
    <w:name w:val="Point 123 (3)"/>
    <w:basedOn w:val="Normln"/>
    <w:rsid w:val="00AA2EA0"/>
    <w:pPr>
      <w:numPr>
        <w:ilvl w:val="6"/>
        <w:numId w:val="2"/>
      </w:numPr>
      <w:spacing w:after="0" w:line="240" w:lineRule="auto"/>
      <w:outlineLvl w:val="2"/>
    </w:pPr>
    <w:rPr>
      <w:rFonts w:ascii="Times New Roman" w:eastAsia="Times New Roman" w:hAnsi="Times New Roman" w:cs="Times New Roman"/>
      <w:sz w:val="24"/>
      <w:szCs w:val="24"/>
      <w:lang w:val="en-GB"/>
    </w:rPr>
  </w:style>
  <w:style w:type="paragraph" w:customStyle="1" w:styleId="Dash1">
    <w:name w:val="Dash 1"/>
    <w:basedOn w:val="Normln"/>
    <w:rsid w:val="00AA2EA0"/>
    <w:pPr>
      <w:numPr>
        <w:numId w:val="1"/>
      </w:numPr>
      <w:spacing w:after="0" w:line="240" w:lineRule="auto"/>
      <w:outlineLvl w:val="0"/>
    </w:pPr>
    <w:rPr>
      <w:rFonts w:ascii="Times New Roman" w:eastAsia="Times New Roman" w:hAnsi="Times New Roman" w:cs="Times New Roman"/>
      <w:sz w:val="24"/>
      <w:szCs w:val="24"/>
      <w:lang w:val="en-GB"/>
    </w:rPr>
  </w:style>
  <w:style w:type="paragraph" w:styleId="Bezmezer">
    <w:name w:val="No Spacing"/>
    <w:uiPriority w:val="1"/>
    <w:qFormat/>
    <w:rsid w:val="00AA2EA0"/>
    <w:pPr>
      <w:spacing w:after="0" w:line="240" w:lineRule="auto"/>
    </w:pPr>
  </w:style>
  <w:style w:type="character" w:styleId="Znakapoznpodarou">
    <w:name w:val="footnote reference"/>
    <w:rsid w:val="007D1EFC"/>
    <w:rPr>
      <w:b/>
      <w:shd w:val="clear" w:color="auto" w:fill="auto"/>
      <w:vertAlign w:val="superscript"/>
    </w:rPr>
  </w:style>
  <w:style w:type="paragraph" w:customStyle="1" w:styleId="Titreobjet">
    <w:name w:val="Titre objet"/>
    <w:basedOn w:val="Normln"/>
    <w:next w:val="Normln"/>
    <w:rsid w:val="00443D96"/>
    <w:pPr>
      <w:spacing w:before="360" w:after="360" w:line="240" w:lineRule="auto"/>
      <w:jc w:val="center"/>
    </w:pPr>
    <w:rPr>
      <w:rFonts w:ascii="Times New Roman" w:eastAsia="Times New Roman" w:hAnsi="Times New Roman" w:cs="Times New Roman"/>
      <w:b/>
      <w:sz w:val="24"/>
      <w:lang w:val="en-GB" w:eastAsia="en-GB"/>
    </w:rPr>
  </w:style>
  <w:style w:type="paragraph" w:styleId="Odstavecseseznamem">
    <w:name w:val="List Paragraph"/>
    <w:basedOn w:val="Normln"/>
    <w:uiPriority w:val="99"/>
    <w:qFormat/>
    <w:rsid w:val="007E7946"/>
    <w:pPr>
      <w:ind w:left="720"/>
      <w:contextualSpacing/>
    </w:pPr>
  </w:style>
  <w:style w:type="paragraph" w:customStyle="1" w:styleId="Default">
    <w:name w:val="Default"/>
    <w:rsid w:val="000A621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95456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PointManual">
    <w:name w:val="Point Manual"/>
    <w:basedOn w:val="Normln"/>
    <w:rsid w:val="0076590F"/>
    <w:pPr>
      <w:spacing w:before="200" w:after="0" w:line="240" w:lineRule="auto"/>
      <w:ind w:left="567" w:hanging="567"/>
    </w:pPr>
    <w:rPr>
      <w:rFonts w:ascii="Times New Roman" w:eastAsia="Times New Roman" w:hAnsi="Times New Roman" w:cs="Times New Roman"/>
      <w:sz w:val="24"/>
      <w:szCs w:val="24"/>
      <w:lang w:val="en-GB"/>
    </w:rPr>
  </w:style>
  <w:style w:type="paragraph" w:styleId="Normlnweb">
    <w:name w:val="Normal (Web)"/>
    <w:basedOn w:val="Normln"/>
    <w:uiPriority w:val="99"/>
    <w:unhideWhenUsed/>
    <w:rsid w:val="00BD34ED"/>
    <w:pPr>
      <w:spacing w:before="100" w:beforeAutospacing="1" w:after="119" w:line="240" w:lineRule="auto"/>
    </w:pPr>
    <w:rPr>
      <w:rFonts w:ascii="Times New Roman" w:eastAsia="Times New Roman" w:hAnsi="Times New Roman" w:cs="Times New Roman"/>
      <w:sz w:val="24"/>
      <w:szCs w:val="24"/>
      <w:lang w:eastAsia="cs-CZ"/>
    </w:rPr>
  </w:style>
  <w:style w:type="paragraph" w:styleId="Textkomente">
    <w:name w:val="annotation text"/>
    <w:basedOn w:val="Normln"/>
    <w:link w:val="TextkomenteChar"/>
    <w:uiPriority w:val="99"/>
    <w:semiHidden/>
    <w:unhideWhenUsed/>
    <w:rsid w:val="007D762C"/>
    <w:pPr>
      <w:spacing w:line="240" w:lineRule="auto"/>
    </w:pPr>
    <w:rPr>
      <w:sz w:val="20"/>
      <w:szCs w:val="20"/>
    </w:rPr>
  </w:style>
  <w:style w:type="character" w:customStyle="1" w:styleId="TextkomenteChar">
    <w:name w:val="Text komentáře Char"/>
    <w:basedOn w:val="Standardnpsmoodstavce"/>
    <w:link w:val="Textkomente"/>
    <w:uiPriority w:val="99"/>
    <w:semiHidden/>
    <w:rsid w:val="007D762C"/>
    <w:rPr>
      <w:sz w:val="20"/>
      <w:szCs w:val="20"/>
    </w:rPr>
  </w:style>
  <w:style w:type="paragraph" w:styleId="Pedmtkomente">
    <w:name w:val="annotation subject"/>
    <w:basedOn w:val="Textkomente"/>
    <w:next w:val="Textkomente"/>
    <w:link w:val="PedmtkomenteChar"/>
    <w:uiPriority w:val="99"/>
    <w:semiHidden/>
    <w:unhideWhenUsed/>
    <w:rsid w:val="007D762C"/>
    <w:pPr>
      <w:spacing w:after="0"/>
    </w:pPr>
    <w:rPr>
      <w:rFonts w:ascii="Times New Roman" w:eastAsia="Times New Roman" w:hAnsi="Times New Roman" w:cs="Times New Roman"/>
      <w:b/>
      <w:bCs/>
      <w:lang w:val="fr-FR"/>
    </w:rPr>
  </w:style>
  <w:style w:type="character" w:customStyle="1" w:styleId="PedmtkomenteChar">
    <w:name w:val="Předmět komentáře Char"/>
    <w:basedOn w:val="TextkomenteChar"/>
    <w:link w:val="Pedmtkomente"/>
    <w:uiPriority w:val="99"/>
    <w:semiHidden/>
    <w:rsid w:val="007D762C"/>
    <w:rPr>
      <w:rFonts w:ascii="Times New Roman" w:eastAsia="Times New Roman" w:hAnsi="Times New Roman" w:cs="Times New Roman"/>
      <w:b/>
      <w:bCs/>
      <w:sz w:val="20"/>
      <w:szCs w:val="20"/>
      <w:lang w:val="fr-FR"/>
    </w:rPr>
  </w:style>
  <w:style w:type="character" w:customStyle="1" w:styleId="PointManualChar">
    <w:name w:val="Point Manual Char"/>
    <w:locked/>
    <w:rsid w:val="007D762C"/>
    <w:rPr>
      <w:sz w:val="24"/>
      <w:szCs w:val="24"/>
      <w:lang w:val="fr-FR" w:eastAsia="en-US"/>
    </w:rPr>
  </w:style>
  <w:style w:type="paragraph" w:styleId="Textpoznpodarou">
    <w:name w:val="footnote text"/>
    <w:basedOn w:val="Normln"/>
    <w:link w:val="TextpoznpodarouChar"/>
    <w:rsid w:val="007D762C"/>
    <w:pPr>
      <w:spacing w:after="0" w:line="240" w:lineRule="auto"/>
      <w:ind w:left="720" w:hanging="720"/>
    </w:pPr>
    <w:rPr>
      <w:rFonts w:ascii="Times New Roman" w:eastAsia="Times New Roman" w:hAnsi="Times New Roman" w:cs="Times New Roman"/>
      <w:sz w:val="24"/>
      <w:szCs w:val="20"/>
      <w:lang w:val="fr-FR"/>
    </w:rPr>
  </w:style>
  <w:style w:type="character" w:customStyle="1" w:styleId="TextpoznpodarouChar">
    <w:name w:val="Text pozn. pod čarou Char"/>
    <w:basedOn w:val="Standardnpsmoodstavce"/>
    <w:link w:val="Textpoznpodarou"/>
    <w:rsid w:val="007D762C"/>
    <w:rPr>
      <w:rFonts w:ascii="Times New Roman" w:eastAsia="Times New Roman" w:hAnsi="Times New Roman" w:cs="Times New Roman"/>
      <w:sz w:val="24"/>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24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412</Words>
  <Characters>2434</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UNMZ</Company>
  <LinksUpToDate>false</LinksUpToDate>
  <CharactersWithSpaces>2841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spravce</dc:creator>
  <cp:keywords/>
  <dc:description/>
  <cp:lastModifiedBy>Malgorzata Janoutová</cp:lastModifiedBy>
  <cp:revision>3</cp:revision>
  <dcterms:created xsi:type="dcterms:W3CDTF">2019-10-04T08:50:00Z</dcterms:created>
  <dcterms:modified xsi:type="dcterms:W3CDTF">2019-10-04T09:25:00Z</dcterms:modified>
</cp:coreProperties>
</file>