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E359D" w14:textId="77777777" w:rsidR="00225CA3" w:rsidRPr="004838D6" w:rsidRDefault="00225CA3" w:rsidP="004838D6">
      <w:pPr>
        <w:pStyle w:val="Nadpis1"/>
      </w:pPr>
      <w:bookmarkStart w:id="0" w:name="_GoBack"/>
      <w:bookmarkEnd w:id="0"/>
    </w:p>
    <w:p w14:paraId="4C5BB475" w14:textId="77777777" w:rsidR="00FF7C08" w:rsidRPr="00C929B1" w:rsidRDefault="000A1B2A" w:rsidP="00594F20">
      <w:pPr>
        <w:pStyle w:val="Nadpis1"/>
        <w:jc w:val="both"/>
        <w:rPr>
          <w:sz w:val="60"/>
          <w:szCs w:val="60"/>
        </w:rPr>
      </w:pPr>
      <w:r w:rsidRPr="00C929B1">
        <w:rPr>
          <w:sz w:val="60"/>
          <w:szCs w:val="60"/>
        </w:rPr>
        <w:t>CEN and CENELEC</w:t>
      </w:r>
      <w:r w:rsidR="00225CA3" w:rsidRPr="00C929B1">
        <w:rPr>
          <w:sz w:val="60"/>
          <w:szCs w:val="60"/>
        </w:rPr>
        <w:t xml:space="preserve"> </w:t>
      </w:r>
    </w:p>
    <w:p w14:paraId="7526C00C" w14:textId="77777777" w:rsidR="00225CA3" w:rsidRDefault="00225CA3" w:rsidP="00594F20">
      <w:pPr>
        <w:pStyle w:val="Nadpis1"/>
        <w:jc w:val="both"/>
        <w:rPr>
          <w:sz w:val="60"/>
          <w:szCs w:val="60"/>
        </w:rPr>
      </w:pPr>
      <w:r w:rsidRPr="00C929B1">
        <w:rPr>
          <w:sz w:val="60"/>
          <w:szCs w:val="60"/>
        </w:rPr>
        <w:t>Strategy 2030</w:t>
      </w:r>
    </w:p>
    <w:p w14:paraId="6AA27A80" w14:textId="77777777" w:rsidR="00423829" w:rsidRPr="00A520EA" w:rsidRDefault="00423829" w:rsidP="00A520EA"/>
    <w:p w14:paraId="7642814C" w14:textId="328B60F1" w:rsidR="00225CA3" w:rsidRDefault="009E5794" w:rsidP="00594F20">
      <w:pPr>
        <w:pStyle w:val="Nadpis1"/>
        <w:jc w:val="both"/>
        <w:rPr>
          <w:b w:val="0"/>
        </w:rPr>
      </w:pPr>
      <w:r>
        <w:rPr>
          <w:b w:val="0"/>
        </w:rPr>
        <w:t>D</w:t>
      </w:r>
      <w:r w:rsidR="007A0AD2">
        <w:rPr>
          <w:b w:val="0"/>
        </w:rPr>
        <w:t>raft for consultation</w:t>
      </w:r>
    </w:p>
    <w:p w14:paraId="458FCD7A" w14:textId="77777777" w:rsidR="00225CA3" w:rsidRPr="00BA4AEF" w:rsidRDefault="00225CA3" w:rsidP="00BA4AEF"/>
    <w:p w14:paraId="38CAA08E" w14:textId="77777777" w:rsidR="00225CA3" w:rsidRPr="00C929B1" w:rsidRDefault="00225CA3" w:rsidP="00594F20">
      <w:pPr>
        <w:pStyle w:val="Nadpis1"/>
        <w:jc w:val="both"/>
        <w:rPr>
          <w:sz w:val="32"/>
          <w:szCs w:val="32"/>
        </w:rPr>
        <w:sectPr w:rsidR="00225CA3" w:rsidRPr="00C929B1" w:rsidSect="00225CA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07E3C41" w14:textId="77777777" w:rsidR="00A92D2E" w:rsidRPr="00C929B1" w:rsidRDefault="007B3F2B" w:rsidP="00BA4AEF">
      <w:pPr>
        <w:pStyle w:val="Nadpis2"/>
        <w:numPr>
          <w:ilvl w:val="0"/>
          <w:numId w:val="1"/>
        </w:numPr>
        <w:spacing w:after="120"/>
        <w:ind w:left="714" w:hanging="357"/>
        <w:jc w:val="both"/>
      </w:pPr>
      <w:r w:rsidRPr="00C929B1">
        <w:lastRenderedPageBreak/>
        <w:t>Background</w:t>
      </w:r>
    </w:p>
    <w:p w14:paraId="15DA6D32" w14:textId="77777777" w:rsidR="00DC6FA1" w:rsidRPr="00C929B1" w:rsidRDefault="00245AD5" w:rsidP="00594F20">
      <w:pPr>
        <w:pStyle w:val="Nadpis3"/>
        <w:jc w:val="both"/>
      </w:pPr>
      <w:r w:rsidRPr="00C929B1">
        <w:t xml:space="preserve">About </w:t>
      </w:r>
      <w:r w:rsidR="000A1B2A" w:rsidRPr="00C929B1">
        <w:t>CEN and CENELEC</w:t>
      </w:r>
    </w:p>
    <w:p w14:paraId="779BD9FF" w14:textId="519DB5B6" w:rsidR="00340739" w:rsidRPr="00C929B1" w:rsidRDefault="0094213E" w:rsidP="00594F20">
      <w:pPr>
        <w:jc w:val="both"/>
      </w:pPr>
      <w:r w:rsidRPr="00C929B1">
        <w:t>W</w:t>
      </w:r>
      <w:r w:rsidR="00245AD5" w:rsidRPr="00C929B1">
        <w:t>e are the European Committee for Standardization (CEN) and the European Committee for Electrotechnical Standardization (</w:t>
      </w:r>
      <w:r w:rsidRPr="00C929B1">
        <w:t>CENELEC</w:t>
      </w:r>
      <w:r w:rsidR="00245AD5" w:rsidRPr="00C929B1">
        <w:t>)</w:t>
      </w:r>
      <w:r w:rsidR="001F5531" w:rsidRPr="00C929B1">
        <w:rPr>
          <w:rStyle w:val="Znakapoznpodarou"/>
        </w:rPr>
        <w:footnoteReference w:id="2"/>
      </w:r>
      <w:r w:rsidR="00B32FF1" w:rsidRPr="00C929B1">
        <w:t xml:space="preserve">. </w:t>
      </w:r>
      <w:r w:rsidR="00BA4AEF">
        <w:t xml:space="preserve">Together with the European Telecommunications Standards Institute (ETSI) </w:t>
      </w:r>
      <w:r w:rsidR="004F6703">
        <w:t>w</w:t>
      </w:r>
      <w:r w:rsidR="00340739" w:rsidRPr="00C929B1">
        <w:t xml:space="preserve">e </w:t>
      </w:r>
      <w:r w:rsidR="00E03EA0">
        <w:t>represent</w:t>
      </w:r>
      <w:r w:rsidR="00E03EA0" w:rsidRPr="00C929B1">
        <w:t xml:space="preserve"> </w:t>
      </w:r>
      <w:r w:rsidR="00245AD5" w:rsidRPr="00C929B1">
        <w:t>the three European Standardization Organisations (ESOs)</w:t>
      </w:r>
      <w:r w:rsidR="00B32FF1" w:rsidRPr="00C929B1">
        <w:t xml:space="preserve"> </w:t>
      </w:r>
      <w:r w:rsidR="00E03EA0">
        <w:t xml:space="preserve">recognised </w:t>
      </w:r>
      <w:r w:rsidR="00423829">
        <w:t xml:space="preserve">under EU law </w:t>
      </w:r>
      <w:r w:rsidR="004F6703">
        <w:t>(Regulation 1025/2012)</w:t>
      </w:r>
      <w:r w:rsidR="00E03EA0">
        <w:t>.</w:t>
      </w:r>
      <w:r w:rsidR="004F6703">
        <w:t xml:space="preserve"> </w:t>
      </w:r>
      <w:r w:rsidR="00E03EA0">
        <w:t>This makes us</w:t>
      </w:r>
      <w:r w:rsidR="00B32FF1" w:rsidRPr="00C929B1">
        <w:t xml:space="preserve"> the leading providers of voluntary European Standards and related products and services.</w:t>
      </w:r>
    </w:p>
    <w:p w14:paraId="31070CBD" w14:textId="659A402E" w:rsidR="0054428D" w:rsidRPr="00C929B1" w:rsidRDefault="00B97640" w:rsidP="00594F20">
      <w:pPr>
        <w:jc w:val="both"/>
      </w:pPr>
      <w:r w:rsidRPr="00C929B1">
        <w:t xml:space="preserve">We bring together the </w:t>
      </w:r>
      <w:r w:rsidR="00E03EA0">
        <w:t>N</w:t>
      </w:r>
      <w:r w:rsidRPr="00C929B1">
        <w:t xml:space="preserve">ational </w:t>
      </w:r>
      <w:r w:rsidR="00E03EA0">
        <w:t>S</w:t>
      </w:r>
      <w:r w:rsidRPr="00C929B1">
        <w:t xml:space="preserve">tandards </w:t>
      </w:r>
      <w:r w:rsidR="00E03EA0">
        <w:t>B</w:t>
      </w:r>
      <w:r w:rsidR="004F6703">
        <w:t>odies</w:t>
      </w:r>
      <w:r w:rsidR="00E03EA0">
        <w:t xml:space="preserve"> (NSB)</w:t>
      </w:r>
      <w:r w:rsidR="004F6703">
        <w:t xml:space="preserve"> </w:t>
      </w:r>
      <w:r w:rsidR="00423829">
        <w:t xml:space="preserve">and </w:t>
      </w:r>
      <w:r w:rsidR="00E03EA0">
        <w:t>N</w:t>
      </w:r>
      <w:r w:rsidR="00423829">
        <w:t>ational</w:t>
      </w:r>
      <w:r w:rsidR="00F11B01">
        <w:t xml:space="preserve"> (Electrotechnical)</w:t>
      </w:r>
      <w:r w:rsidR="00423829">
        <w:t xml:space="preserve"> </w:t>
      </w:r>
      <w:r w:rsidR="00E03EA0">
        <w:t>C</w:t>
      </w:r>
      <w:r w:rsidR="00423829">
        <w:t>ommittees</w:t>
      </w:r>
      <w:r w:rsidR="00E03EA0">
        <w:t xml:space="preserve"> (NC)</w:t>
      </w:r>
      <w:r w:rsidR="00423829">
        <w:t xml:space="preserve"> </w:t>
      </w:r>
      <w:r w:rsidRPr="00C929B1">
        <w:t>of 34 countries</w:t>
      </w:r>
      <w:r w:rsidR="008F4016" w:rsidRPr="00C929B1">
        <w:t>,</w:t>
      </w:r>
      <w:r w:rsidRPr="00C929B1">
        <w:t xml:space="preserve"> to develop and adopt common standards that are applied</w:t>
      </w:r>
      <w:r w:rsidR="008F4016" w:rsidRPr="00C929B1">
        <w:t xml:space="preserve"> across the</w:t>
      </w:r>
      <w:r w:rsidR="00460E3F">
        <w:t xml:space="preserve"> EU and EFTA</w:t>
      </w:r>
      <w:r w:rsidR="0017078F">
        <w:t xml:space="preserve"> </w:t>
      </w:r>
      <w:r w:rsidR="00423829">
        <w:t>and beyond</w:t>
      </w:r>
      <w:r w:rsidRPr="00C929B1">
        <w:t xml:space="preserve">. </w:t>
      </w:r>
      <w:r w:rsidR="0054428D" w:rsidRPr="00C929B1">
        <w:t>We promote the</w:t>
      </w:r>
      <w:r w:rsidR="00423829">
        <w:t xml:space="preserve"> single standard model </w:t>
      </w:r>
      <w:r w:rsidR="00F11B01">
        <w:t xml:space="preserve">all </w:t>
      </w:r>
      <w:r w:rsidR="00F11B01" w:rsidRPr="00C929B1">
        <w:t>throughout the European Single Market</w:t>
      </w:r>
      <w:r w:rsidR="00F11B01">
        <w:t xml:space="preserve"> </w:t>
      </w:r>
      <w:r w:rsidR="00423829">
        <w:t>and</w:t>
      </w:r>
      <w:r w:rsidR="002936DC" w:rsidRPr="00C929B1">
        <w:t xml:space="preserve"> </w:t>
      </w:r>
      <w:r w:rsidR="00D64789" w:rsidRPr="00C929B1">
        <w:t>ensur</w:t>
      </w:r>
      <w:r w:rsidR="00460E3F">
        <w:t>e that</w:t>
      </w:r>
      <w:r w:rsidR="002936DC" w:rsidRPr="00C929B1">
        <w:t xml:space="preserve"> </w:t>
      </w:r>
      <w:r w:rsidR="00D64789" w:rsidRPr="00C929B1">
        <w:t>international standards</w:t>
      </w:r>
      <w:r w:rsidR="0067052C">
        <w:t>,</w:t>
      </w:r>
      <w:r w:rsidR="00D64789" w:rsidRPr="00C929B1">
        <w:t xml:space="preserve"> developed </w:t>
      </w:r>
      <w:r w:rsidR="006026BA" w:rsidRPr="00C929B1">
        <w:t>by</w:t>
      </w:r>
      <w:r w:rsidR="00D64789" w:rsidRPr="00C929B1">
        <w:t xml:space="preserve"> the International Organization for Standardization (ISO) and the International Electrotechnic</w:t>
      </w:r>
      <w:r w:rsidR="002936DC" w:rsidRPr="00C929B1">
        <w:t>al Commission (IEC)</w:t>
      </w:r>
      <w:r w:rsidR="0067052C">
        <w:t>,</w:t>
      </w:r>
      <w:r w:rsidR="006026BA" w:rsidRPr="00C929B1">
        <w:t xml:space="preserve"> </w:t>
      </w:r>
      <w:r w:rsidR="0067052C">
        <w:t>are adopted across Europe</w:t>
      </w:r>
      <w:r w:rsidR="00E03EA0">
        <w:t xml:space="preserve">. </w:t>
      </w:r>
      <w:r w:rsidR="0017078F">
        <w:t>We also</w:t>
      </w:r>
      <w:r w:rsidR="0017078F" w:rsidRPr="0067052C">
        <w:t xml:space="preserve"> </w:t>
      </w:r>
      <w:r w:rsidR="0017078F">
        <w:t>develop home-grown European</w:t>
      </w:r>
      <w:r w:rsidR="0017078F" w:rsidRPr="00C929B1">
        <w:t xml:space="preserve"> </w:t>
      </w:r>
      <w:r w:rsidR="0017078F">
        <w:t>S</w:t>
      </w:r>
      <w:r w:rsidR="0017078F" w:rsidRPr="00C929B1">
        <w:t>tandards</w:t>
      </w:r>
      <w:r w:rsidR="0017078F">
        <w:t xml:space="preserve"> in response to European needs.</w:t>
      </w:r>
    </w:p>
    <w:p w14:paraId="7680874C" w14:textId="040D55C6" w:rsidR="0094213E" w:rsidRPr="00C929B1" w:rsidRDefault="00B32FF1" w:rsidP="00594F20">
      <w:pPr>
        <w:jc w:val="both"/>
      </w:pPr>
      <w:r w:rsidRPr="00C929B1">
        <w:t xml:space="preserve">Our standards are </w:t>
      </w:r>
      <w:r w:rsidR="00A92D2E" w:rsidRPr="00C929B1">
        <w:t>market</w:t>
      </w:r>
      <w:r w:rsidRPr="00C929B1">
        <w:t xml:space="preserve">-driven and are </w:t>
      </w:r>
      <w:r w:rsidR="00423829">
        <w:t>developed</w:t>
      </w:r>
      <w:r w:rsidRPr="00C929B1">
        <w:t xml:space="preserve"> through a transparent</w:t>
      </w:r>
      <w:r w:rsidR="0048130E" w:rsidRPr="00C929B1">
        <w:t>, inclusive</w:t>
      </w:r>
      <w:r w:rsidRPr="00C929B1">
        <w:t xml:space="preserve"> and consensus-based process</w:t>
      </w:r>
      <w:r w:rsidR="00A92D2E" w:rsidRPr="00C929B1">
        <w:t>,</w:t>
      </w:r>
      <w:r w:rsidRPr="00C929B1">
        <w:t xml:space="preserve"> involving a wide array of stakeholders</w:t>
      </w:r>
      <w:r w:rsidR="0054428D" w:rsidRPr="00C929B1">
        <w:t xml:space="preserve"> and experts</w:t>
      </w:r>
      <w:r w:rsidRPr="00C929B1">
        <w:t xml:space="preserve">. </w:t>
      </w:r>
      <w:r w:rsidR="00340739" w:rsidRPr="00C929B1">
        <w:t>In doing so, we ensure consumer</w:t>
      </w:r>
      <w:r w:rsidR="0067052C">
        <w:t xml:space="preserve"> </w:t>
      </w:r>
      <w:r w:rsidR="00340739" w:rsidRPr="00C929B1">
        <w:t>protection</w:t>
      </w:r>
      <w:r w:rsidR="004F6703">
        <w:t xml:space="preserve"> and enhanced trust in products and services</w:t>
      </w:r>
      <w:r w:rsidR="00340739" w:rsidRPr="00C929B1">
        <w:t xml:space="preserve">, </w:t>
      </w:r>
      <w:r w:rsidR="0017078F">
        <w:t xml:space="preserve">we </w:t>
      </w:r>
      <w:r w:rsidR="00340739" w:rsidRPr="00C929B1">
        <w:t xml:space="preserve">facilitate international trade, </w:t>
      </w:r>
      <w:r w:rsidR="004F6703" w:rsidRPr="00C929B1">
        <w:t>boost</w:t>
      </w:r>
      <w:r w:rsidR="00340739" w:rsidRPr="00C929B1">
        <w:t xml:space="preserve"> the interoperability of products, encourage innovation and technolog</w:t>
      </w:r>
      <w:r w:rsidR="000549B2" w:rsidRPr="00C929B1">
        <w:t>ical development</w:t>
      </w:r>
      <w:r w:rsidR="008405AE" w:rsidRPr="00C929B1">
        <w:t>,</w:t>
      </w:r>
      <w:r w:rsidR="00FB5ED5" w:rsidRPr="00C929B1">
        <w:t xml:space="preserve"> </w:t>
      </w:r>
      <w:r w:rsidR="00340739" w:rsidRPr="00C929B1">
        <w:t>and contribute to</w:t>
      </w:r>
      <w:r w:rsidR="000549B2" w:rsidRPr="00C929B1">
        <w:t xml:space="preserve"> economic growth and</w:t>
      </w:r>
      <w:r w:rsidR="00340739" w:rsidRPr="00C929B1">
        <w:t xml:space="preserve"> social and environmental sustainability</w:t>
      </w:r>
      <w:r w:rsidR="00FB5ED5" w:rsidRPr="00C929B1">
        <w:t>.</w:t>
      </w:r>
    </w:p>
    <w:p w14:paraId="389F9B46" w14:textId="109B1164" w:rsidR="00DC6FA1" w:rsidRPr="00C929B1" w:rsidRDefault="0054428D" w:rsidP="00594F20">
      <w:pPr>
        <w:pStyle w:val="Nadpis3"/>
        <w:jc w:val="both"/>
      </w:pPr>
      <w:r w:rsidRPr="00C929B1">
        <w:t>A</w:t>
      </w:r>
      <w:r w:rsidR="001F3450" w:rsidRPr="00C929B1">
        <w:t>bout th</w:t>
      </w:r>
      <w:r w:rsidR="006029DE">
        <w:t>is Draft</w:t>
      </w:r>
      <w:r w:rsidRPr="00C929B1">
        <w:t xml:space="preserve"> St</w:t>
      </w:r>
      <w:r w:rsidR="00FB5ED5" w:rsidRPr="00C929B1">
        <w:t>rategy</w:t>
      </w:r>
    </w:p>
    <w:p w14:paraId="13053203" w14:textId="10BB5366" w:rsidR="00EC06BE" w:rsidRDefault="004F6703" w:rsidP="00594F20">
      <w:pPr>
        <w:jc w:val="both"/>
      </w:pPr>
      <w:r>
        <w:t xml:space="preserve">This document outlines </w:t>
      </w:r>
      <w:r w:rsidR="00CD593F">
        <w:t xml:space="preserve">a </w:t>
      </w:r>
      <w:r>
        <w:t>draft</w:t>
      </w:r>
      <w:r w:rsidR="00CD593F">
        <w:t xml:space="preserve"> for </w:t>
      </w:r>
      <w:r w:rsidR="009E5794">
        <w:t>a CEN and CENELEC s</w:t>
      </w:r>
      <w:r>
        <w:t>trategy</w:t>
      </w:r>
      <w:r w:rsidR="00E03EA0">
        <w:t>,</w:t>
      </w:r>
      <w:r>
        <w:t xml:space="preserve"> including </w:t>
      </w:r>
      <w:r w:rsidR="00B97640" w:rsidRPr="00C929B1">
        <w:t>a</w:t>
      </w:r>
      <w:r w:rsidR="00982F3B" w:rsidRPr="00C929B1">
        <w:t xml:space="preserve"> vision</w:t>
      </w:r>
      <w:r w:rsidR="0089337F">
        <w:t xml:space="preserve"> and mission </w:t>
      </w:r>
      <w:r w:rsidR="00982F3B" w:rsidRPr="00C929B1">
        <w:t>statement and a</w:t>
      </w:r>
      <w:r w:rsidR="00B97640" w:rsidRPr="00C929B1">
        <w:t xml:space="preserve"> preliminary</w:t>
      </w:r>
      <w:r w:rsidR="00F21705">
        <w:t xml:space="preserve"> set of goal</w:t>
      </w:r>
      <w:r w:rsidR="00E03EA0">
        <w:t xml:space="preserve">s </w:t>
      </w:r>
      <w:r w:rsidR="002936DC" w:rsidRPr="00C929B1">
        <w:t>for</w:t>
      </w:r>
      <w:r w:rsidR="00486B22" w:rsidRPr="00C929B1">
        <w:t xml:space="preserve"> further development</w:t>
      </w:r>
      <w:r w:rsidR="001E1825">
        <w:t>.</w:t>
      </w:r>
      <w:r w:rsidR="00CD593F">
        <w:t xml:space="preserve"> </w:t>
      </w:r>
      <w:r w:rsidR="009E5794">
        <w:t>This</w:t>
      </w:r>
      <w:r w:rsidR="00CD593F">
        <w:t xml:space="preserve"> </w:t>
      </w:r>
      <w:r w:rsidR="009E5794">
        <w:t>draft</w:t>
      </w:r>
      <w:r w:rsidR="00CD593F">
        <w:t xml:space="preserve"> </w:t>
      </w:r>
      <w:r w:rsidR="009E5794">
        <w:t>is</w:t>
      </w:r>
      <w:r w:rsidR="00CD593F">
        <w:t xml:space="preserve"> prelim</w:t>
      </w:r>
      <w:r w:rsidR="005472A4">
        <w:t xml:space="preserve">inary by nature and will be subjected to significant changes as we further </w:t>
      </w:r>
      <w:r w:rsidR="009E5794">
        <w:t>develop our strategic thinking.</w:t>
      </w:r>
    </w:p>
    <w:p w14:paraId="60F56F38" w14:textId="2BBC4286" w:rsidR="00EC06BE" w:rsidRDefault="00EC06BE" w:rsidP="00A520EA">
      <w:pPr>
        <w:pStyle w:val="Nadpis3"/>
        <w:jc w:val="both"/>
      </w:pPr>
      <w:r>
        <w:t>About these consultations</w:t>
      </w:r>
    </w:p>
    <w:p w14:paraId="73BE0902" w14:textId="6BCF492B" w:rsidR="007840E9" w:rsidRPr="00C929B1" w:rsidRDefault="005472A4" w:rsidP="00594F20">
      <w:pPr>
        <w:jc w:val="both"/>
      </w:pPr>
      <w:r>
        <w:t>T</w:t>
      </w:r>
      <w:r w:rsidR="00CD593F">
        <w:t>he main purpose of the draft strategy outlined below is to trigger debate and refle</w:t>
      </w:r>
      <w:r>
        <w:t>ction. To do so, we want to</w:t>
      </w:r>
      <w:r w:rsidR="00CD593F">
        <w:t xml:space="preserve"> generate feedback and suggestions from a</w:t>
      </w:r>
      <w:r>
        <w:t xml:space="preserve"> broad and</w:t>
      </w:r>
      <w:r w:rsidR="00CD593F">
        <w:t xml:space="preserve"> diverse group of key st</w:t>
      </w:r>
      <w:r w:rsidR="009E5794">
        <w:t>akeholders at both the national,</w:t>
      </w:r>
      <w:r w:rsidR="00CD593F">
        <w:t xml:space="preserve"> European</w:t>
      </w:r>
      <w:r w:rsidR="009E5794">
        <w:t xml:space="preserve"> and international</w:t>
      </w:r>
      <w:r w:rsidR="00CD593F">
        <w:t xml:space="preserve"> level.</w:t>
      </w:r>
      <w:r>
        <w:t xml:space="preserve"> </w:t>
      </w:r>
      <w:r w:rsidR="00EC06BE">
        <w:t>Incorporating your inputs, we hope, will enable us to develop a robust, comprehensive and future-proof strategy, which takes into account the in</w:t>
      </w:r>
      <w:r>
        <w:t>terests and concerns of all those involved in, and affected by, the standards we produce.</w:t>
      </w:r>
    </w:p>
    <w:p w14:paraId="5C6C96F3" w14:textId="77777777" w:rsidR="00A46120" w:rsidRPr="00C929B1" w:rsidRDefault="00DC6FA1" w:rsidP="00BA4AEF">
      <w:pPr>
        <w:pStyle w:val="Nadpis2"/>
        <w:numPr>
          <w:ilvl w:val="0"/>
          <w:numId w:val="1"/>
        </w:numPr>
        <w:spacing w:after="120"/>
        <w:ind w:left="714" w:hanging="357"/>
        <w:jc w:val="both"/>
      </w:pPr>
      <w:r w:rsidRPr="00C929B1">
        <w:rPr>
          <w:rStyle w:val="Nadpis2Char"/>
        </w:rPr>
        <w:br w:type="column"/>
      </w:r>
      <w:r w:rsidR="0011586B" w:rsidRPr="00C929B1">
        <w:lastRenderedPageBreak/>
        <w:t>Scope</w:t>
      </w:r>
      <w:r w:rsidR="0031297E">
        <w:t xml:space="preserve"> and time </w:t>
      </w:r>
      <w:r w:rsidR="0011586B" w:rsidRPr="00C929B1">
        <w:t>frame</w:t>
      </w:r>
    </w:p>
    <w:p w14:paraId="4CE7C09E" w14:textId="40C23F79" w:rsidR="00EA24E3" w:rsidRDefault="000A1B2A" w:rsidP="00594F20">
      <w:pPr>
        <w:jc w:val="both"/>
      </w:pPr>
      <w:r w:rsidRPr="00C929B1">
        <w:t>CEN and CENELEC</w:t>
      </w:r>
      <w:r w:rsidR="0028328B" w:rsidRPr="00C929B1">
        <w:t xml:space="preserve"> </w:t>
      </w:r>
      <w:r w:rsidR="00B05537">
        <w:t>agree</w:t>
      </w:r>
      <w:r w:rsidR="00752F7E">
        <w:t>d</w:t>
      </w:r>
      <w:r w:rsidR="00B05537">
        <w:t xml:space="preserve"> that the</w:t>
      </w:r>
      <w:r w:rsidR="00752F7E">
        <w:t>ir</w:t>
      </w:r>
      <w:r w:rsidR="00B05537">
        <w:t xml:space="preserve"> Strategy</w:t>
      </w:r>
      <w:r w:rsidR="006C7CED">
        <w:t xml:space="preserve"> </w:t>
      </w:r>
      <w:r w:rsidR="00EA24E3">
        <w:t>2030</w:t>
      </w:r>
      <w:r w:rsidR="00B05537">
        <w:t xml:space="preserve"> </w:t>
      </w:r>
      <w:r w:rsidR="006C7CED">
        <w:t>should</w:t>
      </w:r>
      <w:r w:rsidR="0011586B" w:rsidRPr="00C929B1">
        <w:t xml:space="preserve"> be</w:t>
      </w:r>
      <w:r w:rsidR="00433ACC" w:rsidRPr="00C929B1">
        <w:t xml:space="preserve"> </w:t>
      </w:r>
      <w:r w:rsidR="0011586B" w:rsidRPr="00C929B1">
        <w:t>agile</w:t>
      </w:r>
      <w:r w:rsidR="002B46DC" w:rsidRPr="00C929B1">
        <w:t>,</w:t>
      </w:r>
      <w:r w:rsidR="00433ACC" w:rsidRPr="00C929B1">
        <w:t xml:space="preserve"> </w:t>
      </w:r>
      <w:r w:rsidR="0011586B" w:rsidRPr="00C929B1">
        <w:t>both in its design</w:t>
      </w:r>
      <w:r w:rsidR="009B7EF6" w:rsidRPr="00C929B1">
        <w:t xml:space="preserve"> </w:t>
      </w:r>
      <w:r w:rsidR="00DE0090">
        <w:rPr>
          <w:rFonts w:ascii="Verdana" w:hAnsi="Verdana"/>
        </w:rPr>
        <w:t>—</w:t>
      </w:r>
      <w:r w:rsidR="00DE0090">
        <w:t xml:space="preserve"> </w:t>
      </w:r>
      <w:r w:rsidR="00BA4AEF">
        <w:t xml:space="preserve">taking a modular approach, </w:t>
      </w:r>
      <w:r w:rsidR="006C7CED">
        <w:t>combining ambitious</w:t>
      </w:r>
      <w:r w:rsidR="009B7EF6" w:rsidRPr="00C929B1">
        <w:t xml:space="preserve"> </w:t>
      </w:r>
      <w:r w:rsidR="0011586B" w:rsidRPr="00C929B1">
        <w:t xml:space="preserve">long-term goals with </w:t>
      </w:r>
      <w:r w:rsidR="006C7CED" w:rsidRPr="00C929B1">
        <w:t xml:space="preserve">actionable </w:t>
      </w:r>
      <w:r w:rsidR="0011586B" w:rsidRPr="00C929B1">
        <w:t>s</w:t>
      </w:r>
      <w:r w:rsidR="00DC6FA1" w:rsidRPr="00C929B1">
        <w:t>hort-term objectives</w:t>
      </w:r>
      <w:r w:rsidR="00DE0090">
        <w:t xml:space="preserve"> </w:t>
      </w:r>
      <w:r w:rsidR="00DE0090">
        <w:rPr>
          <w:rFonts w:ascii="Verdana" w:hAnsi="Verdana"/>
        </w:rPr>
        <w:t>—</w:t>
      </w:r>
      <w:r w:rsidR="0011586B" w:rsidRPr="00C929B1">
        <w:t xml:space="preserve"> and</w:t>
      </w:r>
      <w:r w:rsidR="00E03EA0">
        <w:t xml:space="preserve"> in its</w:t>
      </w:r>
      <w:r w:rsidR="0011586B" w:rsidRPr="00C929B1">
        <w:t xml:space="preserve"> implementation, </w:t>
      </w:r>
      <w:r w:rsidR="00433ACC" w:rsidRPr="00C929B1">
        <w:t>with</w:t>
      </w:r>
      <w:r w:rsidR="005B239E" w:rsidRPr="00C929B1">
        <w:t xml:space="preserve"> provisions</w:t>
      </w:r>
      <w:r w:rsidR="0028328B" w:rsidRPr="00C929B1">
        <w:t xml:space="preserve"> </w:t>
      </w:r>
      <w:r w:rsidR="009B7EF6" w:rsidRPr="00C929B1">
        <w:t>for regular review</w:t>
      </w:r>
      <w:r w:rsidR="006C7CED">
        <w:t xml:space="preserve">, </w:t>
      </w:r>
      <w:r w:rsidR="00993388" w:rsidRPr="00C929B1">
        <w:t>evaluation</w:t>
      </w:r>
      <w:r w:rsidR="006C7CED">
        <w:t xml:space="preserve"> and adjustment</w:t>
      </w:r>
      <w:r w:rsidR="009B7EF6" w:rsidRPr="00C929B1">
        <w:t>.</w:t>
      </w:r>
    </w:p>
    <w:p w14:paraId="71D54D27" w14:textId="1CB8217F" w:rsidR="000A0C1B" w:rsidRPr="00C929B1" w:rsidRDefault="00E03EA0" w:rsidP="00594F20">
      <w:pPr>
        <w:jc w:val="both"/>
      </w:pPr>
      <w:r>
        <w:t xml:space="preserve">We opted for a time horizon of ten years, </w:t>
      </w:r>
      <w:r w:rsidR="00752F7E">
        <w:t xml:space="preserve">to be able </w:t>
      </w:r>
      <w:r w:rsidR="004F6B9E" w:rsidRPr="00C929B1">
        <w:t xml:space="preserve">to </w:t>
      </w:r>
      <w:r w:rsidR="00F21705">
        <w:t>address</w:t>
      </w:r>
      <w:r w:rsidR="004F6B9E" w:rsidRPr="00C929B1">
        <w:t xml:space="preserve"> </w:t>
      </w:r>
      <w:r w:rsidR="00BA4AEF">
        <w:t>disruptive</w:t>
      </w:r>
      <w:r w:rsidR="00F21705">
        <w:t>,</w:t>
      </w:r>
      <w:r w:rsidR="00BA4AEF">
        <w:t xml:space="preserve"> </w:t>
      </w:r>
      <w:r w:rsidR="004F6B9E" w:rsidRPr="00C929B1">
        <w:t>long-term strategic challenge</w:t>
      </w:r>
      <w:r>
        <w:t>s.</w:t>
      </w:r>
      <w:r w:rsidR="006C7CED" w:rsidRPr="006C7CED">
        <w:t xml:space="preserve"> </w:t>
      </w:r>
      <w:r w:rsidR="006C7CED">
        <w:t xml:space="preserve">The </w:t>
      </w:r>
      <w:r w:rsidR="006C7CED" w:rsidRPr="00C929B1">
        <w:t>Strategy 2030 wi</w:t>
      </w:r>
      <w:r w:rsidR="006C7CED">
        <w:t>ll be</w:t>
      </w:r>
      <w:r w:rsidR="006C7CED" w:rsidRPr="00C929B1">
        <w:t xml:space="preserve"> a living document</w:t>
      </w:r>
      <w:r w:rsidR="006C7CED">
        <w:t xml:space="preserve"> however</w:t>
      </w:r>
      <w:r w:rsidR="006C7CED" w:rsidRPr="00C929B1">
        <w:t>, subject to regular revisions and fine-tuning</w:t>
      </w:r>
      <w:r w:rsidR="006C7CED">
        <w:t xml:space="preserve"> exercises. This will enable</w:t>
      </w:r>
      <w:r w:rsidR="006C7CED" w:rsidRPr="00C929B1">
        <w:t xml:space="preserve"> CEN and CENELEC to adapt to changing circumstances </w:t>
      </w:r>
      <w:r w:rsidR="006C7CED">
        <w:t>and market conditions in a timely and flexible manner.</w:t>
      </w:r>
    </w:p>
    <w:p w14:paraId="74B6BADC" w14:textId="111C39F8" w:rsidR="00DF786F" w:rsidRDefault="00B05537" w:rsidP="00594F20">
      <w:pPr>
        <w:jc w:val="both"/>
      </w:pPr>
      <w:r>
        <w:t xml:space="preserve">The </w:t>
      </w:r>
      <w:r w:rsidR="00433ACC" w:rsidRPr="00C929B1">
        <w:t xml:space="preserve">Strategy 2030 </w:t>
      </w:r>
      <w:r w:rsidR="003316C3" w:rsidRPr="00C929B1">
        <w:t>should</w:t>
      </w:r>
      <w:r w:rsidR="00433ACC" w:rsidRPr="00C929B1">
        <w:t xml:space="preserve"> be</w:t>
      </w:r>
      <w:r w:rsidR="00E86E3A" w:rsidRPr="00C929B1">
        <w:t xml:space="preserve"> conceived as</w:t>
      </w:r>
      <w:r w:rsidR="00433ACC" w:rsidRPr="00C929B1">
        <w:t xml:space="preserve"> a </w:t>
      </w:r>
      <w:r w:rsidR="009E5794">
        <w:t>common</w:t>
      </w:r>
      <w:r w:rsidR="00433ACC" w:rsidRPr="00C929B1">
        <w:t xml:space="preserve"> CEN and CENELEC Strategy, </w:t>
      </w:r>
      <w:r w:rsidR="00547998" w:rsidRPr="00C929B1">
        <w:t>which outlines</w:t>
      </w:r>
      <w:r w:rsidR="00433ACC" w:rsidRPr="00C929B1">
        <w:t xml:space="preserve"> a </w:t>
      </w:r>
      <w:r w:rsidR="006E7471" w:rsidRPr="00C929B1">
        <w:t xml:space="preserve">vision and direction for the future of </w:t>
      </w:r>
      <w:r w:rsidR="00002164">
        <w:t>both</w:t>
      </w:r>
      <w:r w:rsidR="006E7471" w:rsidRPr="00C929B1">
        <w:t xml:space="preserve"> </w:t>
      </w:r>
      <w:r w:rsidR="006E4EED" w:rsidRPr="00C929B1">
        <w:t>organisations</w:t>
      </w:r>
      <w:r w:rsidR="006E7471" w:rsidRPr="00C929B1">
        <w:t xml:space="preserve">. </w:t>
      </w:r>
      <w:r w:rsidR="00752F7E">
        <w:t>It will</w:t>
      </w:r>
      <w:r w:rsidR="006D6FC3" w:rsidRPr="00C929B1">
        <w:t xml:space="preserve"> </w:t>
      </w:r>
      <w:r w:rsidR="006E7471" w:rsidRPr="00C929B1">
        <w:t xml:space="preserve">serve as </w:t>
      </w:r>
      <w:r w:rsidR="00002164">
        <w:t>a</w:t>
      </w:r>
      <w:r w:rsidR="006E7471" w:rsidRPr="00C929B1">
        <w:t xml:space="preserve"> strategic framework </w:t>
      </w:r>
      <w:r w:rsidR="00E86E3A" w:rsidRPr="00C929B1">
        <w:t xml:space="preserve">to work </w:t>
      </w:r>
      <w:r w:rsidR="00146B72" w:rsidRPr="00C929B1">
        <w:t xml:space="preserve">together </w:t>
      </w:r>
      <w:r w:rsidR="00C27DD4" w:rsidRPr="00C929B1">
        <w:t xml:space="preserve">towards </w:t>
      </w:r>
      <w:r w:rsidR="00E86E3A" w:rsidRPr="00C929B1">
        <w:t>achieving a set of strategic objectives and priorities</w:t>
      </w:r>
      <w:r w:rsidR="00DF786F">
        <w:t xml:space="preserve">, </w:t>
      </w:r>
      <w:r w:rsidR="006E7471" w:rsidRPr="00C929B1">
        <w:t xml:space="preserve">based on </w:t>
      </w:r>
      <w:r w:rsidR="00BA4AEF">
        <w:t>a</w:t>
      </w:r>
      <w:r w:rsidR="006E7471" w:rsidRPr="00C929B1">
        <w:t xml:space="preserve"> </w:t>
      </w:r>
      <w:r w:rsidR="00E86E3A" w:rsidRPr="00C929B1">
        <w:t>shared understanding of the challenges and opportunities we face as European Standardization Organizations</w:t>
      </w:r>
      <w:r w:rsidR="00DF786F">
        <w:t>.</w:t>
      </w:r>
    </w:p>
    <w:p w14:paraId="790684ED" w14:textId="639544C7" w:rsidR="003A1DA0" w:rsidRDefault="00DF786F" w:rsidP="00594F20">
      <w:pPr>
        <w:jc w:val="both"/>
      </w:pPr>
      <w:r>
        <w:t>It aims to do so</w:t>
      </w:r>
      <w:r w:rsidR="00E86E3A" w:rsidRPr="00C929B1">
        <w:t xml:space="preserve"> </w:t>
      </w:r>
      <w:r w:rsidR="0014392C">
        <w:t xml:space="preserve">whilst </w:t>
      </w:r>
      <w:r>
        <w:t>acknowledging</w:t>
      </w:r>
      <w:r w:rsidR="00E86E3A" w:rsidRPr="00C929B1">
        <w:t xml:space="preserve"> the</w:t>
      </w:r>
      <w:r w:rsidR="00C27DD4" w:rsidRPr="00C929B1">
        <w:t xml:space="preserve"> </w:t>
      </w:r>
      <w:r w:rsidR="003A1DA0">
        <w:t xml:space="preserve">differentiated </w:t>
      </w:r>
      <w:r w:rsidR="00C27DD4" w:rsidRPr="00C929B1">
        <w:t>interests</w:t>
      </w:r>
      <w:r>
        <w:t xml:space="preserve"> and needs</w:t>
      </w:r>
      <w:r w:rsidR="00C27DD4" w:rsidRPr="00C929B1">
        <w:t xml:space="preserve"> of</w:t>
      </w:r>
      <w:r>
        <w:t xml:space="preserve"> CEN and CENELEC as </w:t>
      </w:r>
      <w:r w:rsidR="009E5794">
        <w:t>independent</w:t>
      </w:r>
      <w:r>
        <w:t xml:space="preserve"> organisations, and of </w:t>
      </w:r>
      <w:r w:rsidR="00752F7E">
        <w:t>the CEN and CENELEC Members</w:t>
      </w:r>
      <w:r>
        <w:t xml:space="preserve"> individually</w:t>
      </w:r>
      <w:r w:rsidR="00752F7E">
        <w:t xml:space="preserve">, </w:t>
      </w:r>
      <w:r w:rsidR="00C27DD4" w:rsidRPr="00C929B1">
        <w:t>the</w:t>
      </w:r>
      <w:r w:rsidR="006E4EED" w:rsidRPr="00C929B1">
        <w:t xml:space="preserve"> NSBs and NCs </w:t>
      </w:r>
      <w:r w:rsidR="006D6FC3" w:rsidRPr="00C929B1">
        <w:t>of 34 countries</w:t>
      </w:r>
      <w:r>
        <w:t xml:space="preserve">. </w:t>
      </w:r>
      <w:r w:rsidR="00AE6B4C" w:rsidRPr="00C929B1">
        <w:t>CEN and CENELEC will</w:t>
      </w:r>
      <w:r>
        <w:t xml:space="preserve"> therefore</w:t>
      </w:r>
      <w:r w:rsidR="00AE6B4C" w:rsidRPr="00C929B1">
        <w:t xml:space="preserve"> continue, where relevant and feasible, to develop and implement their </w:t>
      </w:r>
      <w:r w:rsidR="009E5794">
        <w:t xml:space="preserve">own </w:t>
      </w:r>
      <w:r w:rsidR="00AE6B4C">
        <w:t>specific</w:t>
      </w:r>
      <w:r>
        <w:t xml:space="preserve"> </w:t>
      </w:r>
      <w:r w:rsidR="00AE6B4C" w:rsidRPr="00C929B1">
        <w:t xml:space="preserve">strategic </w:t>
      </w:r>
      <w:r>
        <w:t xml:space="preserve">planning, including </w:t>
      </w:r>
      <w:r w:rsidR="003A1DA0">
        <w:t>where it relates to their international engagement</w:t>
      </w:r>
      <w:r w:rsidR="006C7CED">
        <w:t>s</w:t>
      </w:r>
      <w:r w:rsidR="003A1DA0">
        <w:t xml:space="preserve"> with the ISO and IEC respectively. In a similar vein, different levels of standardization, be they national, European or international,</w:t>
      </w:r>
      <w:r w:rsidR="009E5794">
        <w:t xml:space="preserve"> may</w:t>
      </w:r>
      <w:r w:rsidR="003A1DA0">
        <w:t xml:space="preserve"> require different strategic priorities.</w:t>
      </w:r>
    </w:p>
    <w:p w14:paraId="0B1F3236" w14:textId="7B6C935F" w:rsidR="00AE6B4C" w:rsidRDefault="003A1DA0" w:rsidP="00594F20">
      <w:pPr>
        <w:jc w:val="both"/>
      </w:pPr>
      <w:r>
        <w:t xml:space="preserve">The Strategy 2030 presented here </w:t>
      </w:r>
      <w:r w:rsidR="00A857CD">
        <w:t xml:space="preserve">therefore </w:t>
      </w:r>
      <w:r>
        <w:t xml:space="preserve">aspires to provide a framework of reference to </w:t>
      </w:r>
      <w:r w:rsidR="00BC11FB">
        <w:t>ensure complementarity, coherence and consistency across the strategic exercises and long-term objectives of all actors in the CEN and CENELEC community.</w:t>
      </w:r>
    </w:p>
    <w:p w14:paraId="1725E28B" w14:textId="77777777" w:rsidR="00D66B0D" w:rsidRPr="00C929B1" w:rsidRDefault="00D66B0D" w:rsidP="00594F20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929B1">
        <w:br w:type="page"/>
      </w:r>
    </w:p>
    <w:p w14:paraId="3441B0C6" w14:textId="17752D05" w:rsidR="00352315" w:rsidRPr="003020EE" w:rsidRDefault="00642740" w:rsidP="00A520EA">
      <w:pPr>
        <w:pStyle w:val="Nadpis2"/>
        <w:numPr>
          <w:ilvl w:val="0"/>
          <w:numId w:val="1"/>
        </w:numPr>
        <w:spacing w:after="120"/>
        <w:ind w:left="714" w:hanging="357"/>
        <w:jc w:val="both"/>
      </w:pPr>
      <w:r>
        <w:t xml:space="preserve">The </w:t>
      </w:r>
      <w:r w:rsidR="002958DC" w:rsidRPr="003020EE">
        <w:t xml:space="preserve">CEN and CENELEC </w:t>
      </w:r>
      <w:r w:rsidR="00BB7185" w:rsidRPr="003020EE">
        <w:t>v</w:t>
      </w:r>
      <w:r w:rsidR="007B3F2B" w:rsidRPr="003020EE">
        <w:t xml:space="preserve">ision </w:t>
      </w:r>
      <w:r w:rsidR="00BB7185" w:rsidRPr="003020EE">
        <w:t>and m</w:t>
      </w:r>
      <w:r w:rsidR="00F5652D" w:rsidRPr="003020EE">
        <w:t>ission for</w:t>
      </w:r>
      <w:r w:rsidR="007B3F2B" w:rsidRPr="003020EE">
        <w:t xml:space="preserve"> 2030:</w:t>
      </w:r>
    </w:p>
    <w:p w14:paraId="5727783E" w14:textId="77777777" w:rsidR="00F5652D" w:rsidRPr="00C929B1" w:rsidRDefault="00E720E1" w:rsidP="00642740">
      <w:pPr>
        <w:pStyle w:val="Nadpis3"/>
      </w:pPr>
      <w:r w:rsidRPr="00C929B1">
        <w:t>V</w:t>
      </w:r>
      <w:r w:rsidR="00F5652D" w:rsidRPr="00C929B1">
        <w:t>ision</w:t>
      </w:r>
    </w:p>
    <w:p w14:paraId="203CB3F9" w14:textId="4B9FA1D5" w:rsidR="006A38FF" w:rsidRPr="00C929B1" w:rsidRDefault="002023B9" w:rsidP="00F438FD">
      <w:pPr>
        <w:jc w:val="both"/>
      </w:pPr>
      <w:r>
        <w:t>Our</w:t>
      </w:r>
      <w:r w:rsidRPr="00C929B1">
        <w:t xml:space="preserve"> </w:t>
      </w:r>
      <w:r w:rsidR="00F438FD" w:rsidRPr="00C929B1">
        <w:t>vision</w:t>
      </w:r>
      <w:r w:rsidR="00F438FD">
        <w:t xml:space="preserve"> </w:t>
      </w:r>
      <w:r w:rsidR="00F438FD" w:rsidRPr="00C929B1">
        <w:t>statement defines the ultimate goal and</w:t>
      </w:r>
      <w:r w:rsidR="00F438FD">
        <w:t xml:space="preserve"> the</w:t>
      </w:r>
      <w:r w:rsidR="00F438FD" w:rsidRPr="00C929B1">
        <w:t xml:space="preserve"> </w:t>
      </w:r>
      <w:r w:rsidR="00F438FD">
        <w:t xml:space="preserve">desired </w:t>
      </w:r>
      <w:r w:rsidR="00F438FD" w:rsidRPr="00C929B1">
        <w:t xml:space="preserve">future position of CEN and CENELEC. It focuses on the future and represents </w:t>
      </w:r>
      <w:r w:rsidR="00F438FD">
        <w:t>our</w:t>
      </w:r>
      <w:r w:rsidR="00F438FD" w:rsidRPr="00C929B1">
        <w:t xml:space="preserve"> </w:t>
      </w:r>
      <w:r w:rsidR="00F438FD">
        <w:t xml:space="preserve">ideals and </w:t>
      </w:r>
      <w:r w:rsidR="00F438FD" w:rsidRPr="00C929B1">
        <w:t>aspirations</w:t>
      </w:r>
      <w:r w:rsidR="00642740">
        <w:t>.</w:t>
      </w:r>
    </w:p>
    <w:p w14:paraId="53D11BF1" w14:textId="77777777" w:rsidR="007B3F2B" w:rsidRPr="00F438FD" w:rsidRDefault="000A7238" w:rsidP="00594F20">
      <w:pPr>
        <w:jc w:val="both"/>
        <w:rPr>
          <w:i/>
        </w:rPr>
      </w:pPr>
      <w:r w:rsidRPr="00F438FD">
        <w:rPr>
          <w:i/>
        </w:rPr>
        <w:t>We build a safer, more sustainable and competitive Europe through international standardization.</w:t>
      </w:r>
    </w:p>
    <w:p w14:paraId="1829C724" w14:textId="77777777" w:rsidR="007B3F2B" w:rsidRPr="00C929B1" w:rsidRDefault="00E720E1" w:rsidP="00594F20">
      <w:pPr>
        <w:pStyle w:val="Nadpis3"/>
        <w:jc w:val="both"/>
      </w:pPr>
      <w:r w:rsidRPr="00C929B1">
        <w:t>M</w:t>
      </w:r>
      <w:r w:rsidR="00F5652D" w:rsidRPr="00C929B1">
        <w:t>ission</w:t>
      </w:r>
    </w:p>
    <w:p w14:paraId="15C97AB6" w14:textId="54A36D31" w:rsidR="00F438FD" w:rsidRDefault="002023B9" w:rsidP="00594F20">
      <w:pPr>
        <w:jc w:val="both"/>
      </w:pPr>
      <w:r>
        <w:t>Our</w:t>
      </w:r>
      <w:r w:rsidR="00642740">
        <w:t xml:space="preserve"> mission statement</w:t>
      </w:r>
      <w:r w:rsidR="00642740" w:rsidRPr="00C929B1">
        <w:t xml:space="preserve"> describes our business, purpose and primary objectives.</w:t>
      </w:r>
      <w:r w:rsidR="00642740">
        <w:t xml:space="preserve"> It </w:t>
      </w:r>
      <w:r w:rsidR="00F438FD" w:rsidRPr="00C929B1">
        <w:t xml:space="preserve">defines what we </w:t>
      </w:r>
      <w:r w:rsidR="00F438FD">
        <w:t xml:space="preserve">need to </w:t>
      </w:r>
      <w:r w:rsidR="00F438FD" w:rsidRPr="00C929B1">
        <w:t xml:space="preserve">do to achieve </w:t>
      </w:r>
      <w:r w:rsidR="00F438FD">
        <w:t>our</w:t>
      </w:r>
      <w:r w:rsidR="006C7CED">
        <w:t xml:space="preserve"> vision.</w:t>
      </w:r>
    </w:p>
    <w:p w14:paraId="6D75484B" w14:textId="77777777" w:rsidR="007B3F2B" w:rsidRPr="00F438FD" w:rsidRDefault="00AD7503" w:rsidP="00594F20">
      <w:pPr>
        <w:jc w:val="both"/>
        <w:rPr>
          <w:i/>
        </w:rPr>
      </w:pPr>
      <w:r w:rsidRPr="00F438FD">
        <w:rPr>
          <w:i/>
        </w:rPr>
        <w:t>We use our networks to build consensus across industry and society in order to generate trust, stimulate market access and drive innovations for a better life.</w:t>
      </w:r>
    </w:p>
    <w:p w14:paraId="47635D95" w14:textId="77777777" w:rsidR="00D66B0D" w:rsidRPr="00C929B1" w:rsidRDefault="00D66B0D" w:rsidP="00594F20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929B1">
        <w:br w:type="page"/>
      </w:r>
    </w:p>
    <w:p w14:paraId="4A09EC2E" w14:textId="77777777" w:rsidR="007B3F2B" w:rsidRPr="00C929B1" w:rsidRDefault="00E720E1" w:rsidP="00BA4AEF">
      <w:pPr>
        <w:pStyle w:val="Nadpis2"/>
        <w:numPr>
          <w:ilvl w:val="0"/>
          <w:numId w:val="1"/>
        </w:numPr>
        <w:spacing w:after="120"/>
        <w:ind w:left="714" w:hanging="357"/>
        <w:jc w:val="both"/>
      </w:pPr>
      <w:r w:rsidRPr="00C929B1">
        <w:t xml:space="preserve">Strategic </w:t>
      </w:r>
      <w:r w:rsidR="005D39F2" w:rsidRPr="00C929B1">
        <w:t>goals</w:t>
      </w:r>
    </w:p>
    <w:p w14:paraId="79B66C63" w14:textId="11AB593A" w:rsidR="00593310" w:rsidRDefault="006C7CED" w:rsidP="00594F20">
      <w:pPr>
        <w:jc w:val="both"/>
      </w:pPr>
      <w:r>
        <w:t>In order f</w:t>
      </w:r>
      <w:r w:rsidR="00AE6B4C" w:rsidRPr="00C929B1">
        <w:t xml:space="preserve">or CEN and CENELEC to </w:t>
      </w:r>
      <w:r w:rsidR="00AE6B4C">
        <w:t>fulfil</w:t>
      </w:r>
      <w:r w:rsidR="00AE6B4C" w:rsidRPr="00C929B1">
        <w:t xml:space="preserve"> their mission and </w:t>
      </w:r>
      <w:r>
        <w:t>attain</w:t>
      </w:r>
      <w:r w:rsidR="00AE6B4C" w:rsidRPr="00C929B1">
        <w:t xml:space="preserve"> </w:t>
      </w:r>
      <w:r w:rsidR="00AE6B4C">
        <w:t>their</w:t>
      </w:r>
      <w:r w:rsidR="00AE6B4C" w:rsidRPr="00C929B1">
        <w:t xml:space="preserve"> common</w:t>
      </w:r>
      <w:r w:rsidR="00AE6B4C">
        <w:t xml:space="preserve"> vision</w:t>
      </w:r>
      <w:r>
        <w:t>,</w:t>
      </w:r>
      <w:r w:rsidR="00AE6B4C" w:rsidRPr="00C929B1">
        <w:t xml:space="preserve"> </w:t>
      </w:r>
      <w:r>
        <w:t>the below section</w:t>
      </w:r>
      <w:r w:rsidR="00AE6B4C">
        <w:t xml:space="preserve"> </w:t>
      </w:r>
      <w:r>
        <w:t>identifies</w:t>
      </w:r>
      <w:r w:rsidR="00AE6B4C">
        <w:t xml:space="preserve"> </w:t>
      </w:r>
      <w:r w:rsidR="00690356">
        <w:t>four</w:t>
      </w:r>
      <w:r w:rsidR="00477060" w:rsidRPr="00C929B1">
        <w:t xml:space="preserve"> goals</w:t>
      </w:r>
      <w:r w:rsidR="00690356">
        <w:t xml:space="preserve"> contain</w:t>
      </w:r>
      <w:r w:rsidR="00AE6B4C">
        <w:t>ing</w:t>
      </w:r>
      <w:r w:rsidR="00E720E1" w:rsidRPr="00C929B1">
        <w:t xml:space="preserve"> </w:t>
      </w:r>
      <w:r w:rsidR="0038120C" w:rsidRPr="00C929B1">
        <w:t>nine</w:t>
      </w:r>
      <w:r w:rsidR="00F85CCA" w:rsidRPr="00C929B1">
        <w:t xml:space="preserve"> </w:t>
      </w:r>
      <w:r w:rsidR="00E706DF" w:rsidRPr="00C929B1">
        <w:t>priorities</w:t>
      </w:r>
      <w:r w:rsidR="0068212F" w:rsidRPr="00C929B1">
        <w:t xml:space="preserve"> </w:t>
      </w:r>
      <w:r w:rsidR="007B23DE">
        <w:t xml:space="preserve">and </w:t>
      </w:r>
      <w:r w:rsidR="00AE6B4C" w:rsidRPr="00C929B1">
        <w:t xml:space="preserve">a limited number of concrete objectives </w:t>
      </w:r>
      <w:r w:rsidR="00AE6B4C">
        <w:t xml:space="preserve">for CEN and CENELEC </w:t>
      </w:r>
      <w:r w:rsidR="00AE6B4C" w:rsidRPr="00C929B1">
        <w:t xml:space="preserve">to </w:t>
      </w:r>
      <w:r>
        <w:t>deliver upon</w:t>
      </w:r>
      <w:r w:rsidR="00AE6B4C">
        <w:t>.</w:t>
      </w:r>
    </w:p>
    <w:p w14:paraId="6668FD56" w14:textId="167E957C" w:rsidR="00690356" w:rsidRDefault="00690356" w:rsidP="00594F20">
      <w:pPr>
        <w:jc w:val="both"/>
      </w:pPr>
      <w:r>
        <w:t>Achieving these goals</w:t>
      </w:r>
      <w:r w:rsidR="006C7CED">
        <w:t xml:space="preserve">, we believe, </w:t>
      </w:r>
      <w:r w:rsidR="00AE6B4C">
        <w:t xml:space="preserve">will confirm </w:t>
      </w:r>
      <w:r w:rsidR="00E86D26" w:rsidRPr="00C929B1">
        <w:t xml:space="preserve">our position as independent facilitators between industry, regulators and society, </w:t>
      </w:r>
      <w:r w:rsidR="00A73694" w:rsidRPr="00C929B1">
        <w:t>and ensure that our standards contribute to the competitiveness</w:t>
      </w:r>
      <w:r w:rsidR="00617DCB" w:rsidRPr="00C929B1">
        <w:t xml:space="preserve"> and sustainability</w:t>
      </w:r>
      <w:r w:rsidR="00A73694" w:rsidRPr="00C929B1">
        <w:t xml:space="preserve"> of the European economy.</w:t>
      </w:r>
    </w:p>
    <w:p w14:paraId="64CBB152" w14:textId="7B2372C2" w:rsidR="003E34BA" w:rsidRDefault="00777D8D" w:rsidP="00594F20">
      <w:pPr>
        <w:jc w:val="both"/>
      </w:pPr>
      <w:r>
        <w:t xml:space="preserve">The goals, priorities and objectives </w:t>
      </w:r>
      <w:r w:rsidR="002059B0">
        <w:t>identified</w:t>
      </w:r>
      <w:r w:rsidR="006C7CED">
        <w:t xml:space="preserve"> below </w:t>
      </w:r>
      <w:r>
        <w:t xml:space="preserve">represent </w:t>
      </w:r>
      <w:r w:rsidR="002059B0">
        <w:t>where</w:t>
      </w:r>
      <w:r>
        <w:t xml:space="preserve"> </w:t>
      </w:r>
      <w:r w:rsidRPr="00C929B1">
        <w:t>CEN and CENELEC</w:t>
      </w:r>
      <w:r>
        <w:t xml:space="preserve"> want to be</w:t>
      </w:r>
      <w:r w:rsidRPr="00C929B1">
        <w:t xml:space="preserve"> by 2030</w:t>
      </w:r>
      <w:r>
        <w:t xml:space="preserve">. </w:t>
      </w:r>
      <w:r w:rsidR="002059B0">
        <w:t>The</w:t>
      </w:r>
      <w:r>
        <w:t xml:space="preserve"> </w:t>
      </w:r>
      <w:r w:rsidR="00690356">
        <w:t xml:space="preserve">structure </w:t>
      </w:r>
      <w:r w:rsidR="002059B0">
        <w:t xml:space="preserve">outlined below, however, </w:t>
      </w:r>
      <w:r w:rsidR="00690356" w:rsidRPr="00C929B1">
        <w:t xml:space="preserve">remains preliminary </w:t>
      </w:r>
      <w:r>
        <w:t xml:space="preserve">and </w:t>
      </w:r>
      <w:r w:rsidR="002059B0">
        <w:t>may</w:t>
      </w:r>
      <w:r>
        <w:t xml:space="preserve"> </w:t>
      </w:r>
      <w:r w:rsidR="002059B0">
        <w:t>change in accordance with</w:t>
      </w:r>
      <w:r>
        <w:t xml:space="preserve"> the feedb</w:t>
      </w:r>
      <w:r w:rsidR="002059B0">
        <w:t xml:space="preserve">ack and input received through these </w:t>
      </w:r>
      <w:r>
        <w:t>stakeholder consultations</w:t>
      </w:r>
      <w:r w:rsidR="002059B0">
        <w:t>.</w:t>
      </w:r>
    </w:p>
    <w:p w14:paraId="43447FF6" w14:textId="3C389D6C" w:rsidR="004F34C9" w:rsidRPr="00C929B1" w:rsidRDefault="009701A4" w:rsidP="00BA4AEF">
      <w:pPr>
        <w:pStyle w:val="Nadpis3"/>
        <w:numPr>
          <w:ilvl w:val="0"/>
          <w:numId w:val="2"/>
        </w:numPr>
        <w:spacing w:after="120"/>
        <w:ind w:left="357" w:hanging="357"/>
        <w:jc w:val="both"/>
      </w:pPr>
      <w:r>
        <w:t>T</w:t>
      </w:r>
      <w:r w:rsidR="00477060" w:rsidRPr="00C929B1">
        <w:t xml:space="preserve">he </w:t>
      </w:r>
      <w:r w:rsidR="00451BB6" w:rsidRPr="00C929B1">
        <w:t>E</w:t>
      </w:r>
      <w:r w:rsidR="00FF5216">
        <w:t>uropean Union (EU)</w:t>
      </w:r>
      <w:r w:rsidR="00451BB6" w:rsidRPr="00C929B1">
        <w:t xml:space="preserve"> and </w:t>
      </w:r>
      <w:r w:rsidR="00FF5216">
        <w:t>the European Free Trade Association (</w:t>
      </w:r>
      <w:r w:rsidR="00451BB6" w:rsidRPr="00C929B1">
        <w:t>EFTA</w:t>
      </w:r>
      <w:r w:rsidR="00FF5216">
        <w:t>)</w:t>
      </w:r>
      <w:r w:rsidR="00451BB6" w:rsidRPr="00C929B1">
        <w:t xml:space="preserve"> </w:t>
      </w:r>
      <w:r w:rsidR="00D64789" w:rsidRPr="00C929B1">
        <w:t>recogni</w:t>
      </w:r>
      <w:r w:rsidR="00C70E99">
        <w:t>s</w:t>
      </w:r>
      <w:r w:rsidR="00D64789" w:rsidRPr="00C929B1">
        <w:t>e</w:t>
      </w:r>
      <w:r w:rsidR="007D4136" w:rsidRPr="00C929B1">
        <w:t xml:space="preserve"> and </w:t>
      </w:r>
      <w:r w:rsidR="007D4136" w:rsidRPr="00FF5216">
        <w:t>use</w:t>
      </w:r>
      <w:r w:rsidR="00D64789" w:rsidRPr="00C929B1">
        <w:t xml:space="preserve"> the strategic value of the </w:t>
      </w:r>
      <w:r w:rsidR="00D60294" w:rsidRPr="00C929B1">
        <w:t>European standardization system</w:t>
      </w:r>
    </w:p>
    <w:p w14:paraId="35EDE080" w14:textId="2D825CB4" w:rsidR="00303A17" w:rsidRDefault="00D64789" w:rsidP="00594F20">
      <w:pPr>
        <w:jc w:val="both"/>
      </w:pPr>
      <w:r w:rsidRPr="00C929B1">
        <w:t xml:space="preserve">CEN and CENELEC standards </w:t>
      </w:r>
      <w:r w:rsidR="00DC0C11">
        <w:t xml:space="preserve">can play an important role </w:t>
      </w:r>
      <w:r w:rsidRPr="00C929B1">
        <w:t>as enable</w:t>
      </w:r>
      <w:r w:rsidR="009C3464" w:rsidRPr="00C929B1">
        <w:t xml:space="preserve">rs of effective </w:t>
      </w:r>
      <w:r w:rsidR="00FF5216">
        <w:t xml:space="preserve">European </w:t>
      </w:r>
      <w:r w:rsidR="009C3464" w:rsidRPr="00C929B1">
        <w:t xml:space="preserve">public policy. </w:t>
      </w:r>
      <w:r w:rsidRPr="00C929B1">
        <w:t xml:space="preserve">To achieve this objective, CEN and CENELEC </w:t>
      </w:r>
      <w:r w:rsidR="00303A17" w:rsidRPr="00C929B1">
        <w:t xml:space="preserve">need </w:t>
      </w:r>
      <w:r w:rsidR="00DC0C11">
        <w:t>to strengthen their</w:t>
      </w:r>
      <w:r w:rsidR="00303A17" w:rsidRPr="00C929B1">
        <w:t xml:space="preserve"> relationship</w:t>
      </w:r>
      <w:r w:rsidRPr="00C929B1">
        <w:t>s</w:t>
      </w:r>
      <w:r w:rsidR="00303A17" w:rsidRPr="00C929B1">
        <w:t xml:space="preserve"> with</w:t>
      </w:r>
      <w:r w:rsidR="007B23DE">
        <w:t xml:space="preserve"> </w:t>
      </w:r>
      <w:r w:rsidR="00394667">
        <w:t>regulators and policy makers</w:t>
      </w:r>
      <w:r w:rsidR="00303A17" w:rsidRPr="00C929B1">
        <w:t xml:space="preserve">, </w:t>
      </w:r>
      <w:r w:rsidRPr="00C929B1">
        <w:t xml:space="preserve">in particular </w:t>
      </w:r>
      <w:r w:rsidR="00303A17" w:rsidRPr="00C929B1">
        <w:t xml:space="preserve">with the </w:t>
      </w:r>
      <w:r w:rsidR="00FF5216">
        <w:t xml:space="preserve">EU </w:t>
      </w:r>
      <w:r w:rsidR="00C62C10" w:rsidRPr="00C929B1">
        <w:t>and EFTA</w:t>
      </w:r>
      <w:r w:rsidR="007D42B6" w:rsidRPr="00C929B1">
        <w:t xml:space="preserve">. </w:t>
      </w:r>
      <w:r w:rsidRPr="00C929B1">
        <w:t xml:space="preserve">This requires </w:t>
      </w:r>
      <w:r w:rsidR="00777D8D">
        <w:t xml:space="preserve">timely, </w:t>
      </w:r>
      <w:r w:rsidR="001139A8">
        <w:t>proactive</w:t>
      </w:r>
      <w:r w:rsidR="007B23DE">
        <w:t xml:space="preserve"> </w:t>
      </w:r>
      <w:r w:rsidR="00394667">
        <w:t xml:space="preserve">and systematic </w:t>
      </w:r>
      <w:r w:rsidRPr="00C929B1">
        <w:t xml:space="preserve">policy engagement </w:t>
      </w:r>
      <w:r w:rsidR="007D42B6" w:rsidRPr="00C929B1">
        <w:t xml:space="preserve">to </w:t>
      </w:r>
      <w:r w:rsidR="00777D8D">
        <w:t>emphasize</w:t>
      </w:r>
      <w:r w:rsidR="00777D8D" w:rsidRPr="00C929B1">
        <w:t xml:space="preserve"> </w:t>
      </w:r>
      <w:r w:rsidR="007D42B6" w:rsidRPr="00C929B1">
        <w:t xml:space="preserve">the </w:t>
      </w:r>
      <w:r w:rsidR="00394667">
        <w:t>value</w:t>
      </w:r>
      <w:r w:rsidR="007B23DE">
        <w:t xml:space="preserve"> </w:t>
      </w:r>
      <w:r w:rsidR="007D42B6" w:rsidRPr="00C929B1">
        <w:t xml:space="preserve">of </w:t>
      </w:r>
      <w:r w:rsidRPr="00C929B1">
        <w:t xml:space="preserve">CEN and CENELEC standards </w:t>
      </w:r>
      <w:r w:rsidR="00DC0C11">
        <w:t>for the implementation of</w:t>
      </w:r>
      <w:r w:rsidRPr="00C929B1">
        <w:t xml:space="preserve"> </w:t>
      </w:r>
      <w:r w:rsidR="00394667">
        <w:t xml:space="preserve">European </w:t>
      </w:r>
      <w:r w:rsidRPr="00C929B1">
        <w:t>public policies</w:t>
      </w:r>
      <w:r w:rsidR="00394667">
        <w:t xml:space="preserve"> and legislation</w:t>
      </w:r>
      <w:r w:rsidR="00940C9D" w:rsidRPr="00C929B1">
        <w:t xml:space="preserve">. </w:t>
      </w:r>
      <w:r w:rsidR="00966E52" w:rsidRPr="00C929B1">
        <w:t>Crucially</w:t>
      </w:r>
      <w:r w:rsidRPr="00C929B1">
        <w:t xml:space="preserve">, </w:t>
      </w:r>
      <w:r w:rsidR="00777D8D">
        <w:t>this goal requires</w:t>
      </w:r>
      <w:r w:rsidRPr="00C929B1">
        <w:t xml:space="preserve"> </w:t>
      </w:r>
      <w:r w:rsidR="002059B0">
        <w:t>boosting</w:t>
      </w:r>
      <w:r w:rsidRPr="00C929B1">
        <w:t xml:space="preserve"> trust and </w:t>
      </w:r>
      <w:r w:rsidR="001F3708">
        <w:t xml:space="preserve">a </w:t>
      </w:r>
      <w:r w:rsidRPr="00C929B1">
        <w:t>renewed</w:t>
      </w:r>
      <w:r w:rsidR="004F34C9" w:rsidRPr="00C929B1">
        <w:t xml:space="preserve"> </w:t>
      </w:r>
      <w:r w:rsidRPr="00C929B1">
        <w:t xml:space="preserve">commitment to </w:t>
      </w:r>
      <w:r w:rsidR="00966E52" w:rsidRPr="00C929B1">
        <w:t>the New Legislative Framework.</w:t>
      </w:r>
    </w:p>
    <w:p w14:paraId="01CA6A11" w14:textId="5EC87468" w:rsidR="00394667" w:rsidRPr="00C929B1" w:rsidRDefault="00777D8D" w:rsidP="00594F20">
      <w:pPr>
        <w:jc w:val="both"/>
      </w:pPr>
      <w:r>
        <w:t>The strategic priorities and objectives which will support this goal are</w:t>
      </w:r>
      <w:r w:rsidR="002059B0">
        <w:t xml:space="preserve"> the following:</w:t>
      </w:r>
    </w:p>
    <w:p w14:paraId="4D53C04D" w14:textId="77777777" w:rsidR="004F34C9" w:rsidRPr="00C929B1" w:rsidRDefault="00D60294" w:rsidP="0069109E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C929B1">
        <w:rPr>
          <w:b/>
        </w:rPr>
        <w:t>Develop</w:t>
      </w:r>
      <w:r w:rsidR="00B51322" w:rsidRPr="00C929B1">
        <w:rPr>
          <w:b/>
        </w:rPr>
        <w:t xml:space="preserve"> a</w:t>
      </w:r>
      <w:r w:rsidR="00D64789" w:rsidRPr="00C929B1">
        <w:rPr>
          <w:b/>
        </w:rPr>
        <w:t xml:space="preserve"> </w:t>
      </w:r>
      <w:r w:rsidR="00B51322" w:rsidRPr="00C929B1">
        <w:rPr>
          <w:b/>
        </w:rPr>
        <w:t>strategic</w:t>
      </w:r>
      <w:r w:rsidR="004F34C9" w:rsidRPr="00C929B1">
        <w:rPr>
          <w:b/>
        </w:rPr>
        <w:t xml:space="preserve"> </w:t>
      </w:r>
      <w:r w:rsidR="00D64789" w:rsidRPr="00C929B1">
        <w:rPr>
          <w:b/>
        </w:rPr>
        <w:t>value proposition regarding the ro</w:t>
      </w:r>
      <w:r w:rsidR="00784F71" w:rsidRPr="00C929B1">
        <w:rPr>
          <w:b/>
        </w:rPr>
        <w:t>le of CEN and CENELEC standards for European public policy</w:t>
      </w:r>
    </w:p>
    <w:p w14:paraId="210537AC" w14:textId="7AB7AC04" w:rsidR="00777D8D" w:rsidRDefault="00777D8D" w:rsidP="00C55593">
      <w:pPr>
        <w:jc w:val="both"/>
      </w:pPr>
      <w:r>
        <w:t xml:space="preserve">CEN and CENELEC commit </w:t>
      </w:r>
      <w:r w:rsidR="00734EBD" w:rsidRPr="00C929B1">
        <w:t xml:space="preserve">to clarify and promote what we do, how we add value to the work of different European </w:t>
      </w:r>
      <w:r w:rsidR="002059B0">
        <w:t>public authorities</w:t>
      </w:r>
      <w:r w:rsidR="00734EBD" w:rsidRPr="00C929B1">
        <w:t xml:space="preserve"> and </w:t>
      </w:r>
      <w:r>
        <w:t>why our standardization work is crucial to achieve</w:t>
      </w:r>
      <w:r w:rsidR="00734EBD" w:rsidRPr="00C929B1">
        <w:t xml:space="preserve"> </w:t>
      </w:r>
      <w:r w:rsidR="00C10938" w:rsidRPr="00C929B1">
        <w:t xml:space="preserve">the </w:t>
      </w:r>
      <w:r w:rsidR="00C10938" w:rsidRPr="00EE4FEB">
        <w:t xml:space="preserve">EU's and EFTA's </w:t>
      </w:r>
      <w:r w:rsidR="00734EBD" w:rsidRPr="00EE4FEB">
        <w:t>long-term strategic objectives.</w:t>
      </w:r>
    </w:p>
    <w:p w14:paraId="603588F7" w14:textId="342DA0C1" w:rsidR="006C3476" w:rsidRPr="00C929B1" w:rsidRDefault="00734EBD" w:rsidP="00C55593">
      <w:pPr>
        <w:jc w:val="both"/>
      </w:pPr>
      <w:r w:rsidRPr="00C929B1">
        <w:t xml:space="preserve">This requires being more </w:t>
      </w:r>
      <w:r w:rsidR="00477060" w:rsidRPr="00C929B1">
        <w:t>proactive</w:t>
      </w:r>
      <w:r w:rsidRPr="00C929B1">
        <w:t xml:space="preserve"> in how we identify and </w:t>
      </w:r>
      <w:r w:rsidR="00C10938">
        <w:t>deal</w:t>
      </w:r>
      <w:r w:rsidRPr="00C929B1">
        <w:t xml:space="preserve"> with strategically relevant areas of </w:t>
      </w:r>
      <w:r w:rsidR="00477060" w:rsidRPr="00C929B1">
        <w:t xml:space="preserve">European policy-making (e.g. </w:t>
      </w:r>
      <w:r w:rsidR="00EE4FEB">
        <w:t>(Digital)</w:t>
      </w:r>
      <w:r w:rsidRPr="00C929B1">
        <w:t xml:space="preserve"> </w:t>
      </w:r>
      <w:r w:rsidR="00477060" w:rsidRPr="00C929B1">
        <w:t>Single Market, Sustainable D</w:t>
      </w:r>
      <w:r w:rsidRPr="00C929B1">
        <w:t>evelopment,</w:t>
      </w:r>
      <w:r w:rsidR="00477060" w:rsidRPr="00C929B1">
        <w:t xml:space="preserve"> </w:t>
      </w:r>
      <w:r w:rsidR="00777D8D">
        <w:t>European Gre</w:t>
      </w:r>
      <w:r w:rsidR="00EE4FEB">
        <w:t>en Deal, Industrial Action Plan</w:t>
      </w:r>
      <w:r w:rsidR="00832E12">
        <w:t>,</w:t>
      </w:r>
      <w:r w:rsidR="00EE4FEB">
        <w:t xml:space="preserve"> International</w:t>
      </w:r>
      <w:r w:rsidR="00832E12">
        <w:t xml:space="preserve"> </w:t>
      </w:r>
      <w:r w:rsidR="00477060" w:rsidRPr="00C929B1">
        <w:t>Trade,</w:t>
      </w:r>
      <w:r w:rsidR="00EE4FEB">
        <w:t xml:space="preserve"> Technological Sovereignty,</w:t>
      </w:r>
      <w:r w:rsidR="00477060" w:rsidRPr="00C929B1">
        <w:t xml:space="preserve"> </w:t>
      </w:r>
      <w:r w:rsidR="00C10938">
        <w:t xml:space="preserve">etc.). </w:t>
      </w:r>
      <w:r w:rsidR="00777D8D">
        <w:t>CEN and CENELEC</w:t>
      </w:r>
      <w:r w:rsidR="00C10938">
        <w:t xml:space="preserve"> </w:t>
      </w:r>
      <w:r w:rsidR="002059B0">
        <w:t>want</w:t>
      </w:r>
      <w:r w:rsidR="00C10938">
        <w:t xml:space="preserve"> to contribute to s</w:t>
      </w:r>
      <w:r w:rsidRPr="00C929B1">
        <w:t>et</w:t>
      </w:r>
      <w:r w:rsidR="00C10938">
        <w:t>ting</w:t>
      </w:r>
      <w:r w:rsidRPr="00C929B1">
        <w:t xml:space="preserve"> the agenda and </w:t>
      </w:r>
      <w:r w:rsidR="002059B0">
        <w:t>need to</w:t>
      </w:r>
      <w:r w:rsidR="00DE34A3">
        <w:t xml:space="preserve"> </w:t>
      </w:r>
      <w:r w:rsidR="00C10938">
        <w:t>explain</w:t>
      </w:r>
      <w:r w:rsidR="002059B0">
        <w:t xml:space="preserve"> better</w:t>
      </w:r>
      <w:r w:rsidRPr="00C929B1">
        <w:t xml:space="preserve"> </w:t>
      </w:r>
      <w:r w:rsidR="00832E12">
        <w:t xml:space="preserve">how standardization can </w:t>
      </w:r>
      <w:r w:rsidRPr="00C929B1">
        <w:t>support and contribute to the de</w:t>
      </w:r>
      <w:r w:rsidR="00EE4FEB">
        <w:t xml:space="preserve">velopment and implementation </w:t>
      </w:r>
      <w:r w:rsidR="00EE4FEB" w:rsidRPr="00EE4FEB">
        <w:t>of European policy objectives</w:t>
      </w:r>
      <w:r w:rsidR="003A271E" w:rsidRPr="00C929B1">
        <w:t>.</w:t>
      </w:r>
      <w:r w:rsidR="00784F71" w:rsidRPr="00C929B1">
        <w:t xml:space="preserve"> </w:t>
      </w:r>
      <w:r w:rsidR="00207486">
        <w:t>Using</w:t>
      </w:r>
      <w:r w:rsidR="00C10938">
        <w:t xml:space="preserve"> </w:t>
      </w:r>
      <w:r w:rsidR="00832E12">
        <w:t xml:space="preserve">a </w:t>
      </w:r>
      <w:r w:rsidR="00C10938" w:rsidRPr="00C929B1">
        <w:t xml:space="preserve">tailored, evidence-based </w:t>
      </w:r>
      <w:r w:rsidR="00832E12">
        <w:t>engagement approach</w:t>
      </w:r>
      <w:r w:rsidR="00832E12" w:rsidRPr="00C929B1">
        <w:t xml:space="preserve"> </w:t>
      </w:r>
      <w:r w:rsidR="00C10938">
        <w:t>will allow us to</w:t>
      </w:r>
      <w:r w:rsidR="00C10938" w:rsidRPr="00C929B1">
        <w:t xml:space="preserve"> </w:t>
      </w:r>
      <w:r w:rsidR="00832E12">
        <w:t>connect with European regulators and policy makers and connect our standardization work to their policy priorities</w:t>
      </w:r>
      <w:r w:rsidR="00C10938">
        <w:t xml:space="preserve">. </w:t>
      </w:r>
      <w:r w:rsidR="00207486">
        <w:t>For this purpose</w:t>
      </w:r>
      <w:r w:rsidR="001F3708">
        <w:t>,</w:t>
      </w:r>
      <w:r w:rsidR="00966E52" w:rsidRPr="00C929B1">
        <w:t xml:space="preserve"> t</w:t>
      </w:r>
      <w:r w:rsidR="00C10938">
        <w:t xml:space="preserve">he five policy </w:t>
      </w:r>
      <w:r w:rsidR="00784F71" w:rsidRPr="00C929B1">
        <w:t>pr</w:t>
      </w:r>
      <w:r w:rsidR="00C2647B" w:rsidRPr="00C929B1">
        <w:t xml:space="preserve">iorities highlighted in the CEN and </w:t>
      </w:r>
      <w:r w:rsidR="00784F71" w:rsidRPr="00C929B1">
        <w:t>CENELEC Declaration on ‘</w:t>
      </w:r>
      <w:hyperlink r:id="rId12" w:history="1">
        <w:r w:rsidR="00784F71" w:rsidRPr="002059B0">
          <w:rPr>
            <w:rStyle w:val="Hypertextovodkaz"/>
          </w:rPr>
          <w:t>Standards Build Trust</w:t>
        </w:r>
      </w:hyperlink>
      <w:r w:rsidR="00784F71" w:rsidRPr="00C929B1">
        <w:t>’ serve as a useful basis to showcase how standards can support European policymaking in the coming years.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A271E" w:rsidRPr="00C929B1" w14:paraId="6C2170D4" w14:textId="77777777" w:rsidTr="007B377D">
        <w:tc>
          <w:tcPr>
            <w:tcW w:w="9072" w:type="dxa"/>
            <w:shd w:val="clear" w:color="auto" w:fill="DBE5F1" w:themeFill="accent1" w:themeFillTint="33"/>
          </w:tcPr>
          <w:p w14:paraId="00D45083" w14:textId="77777777" w:rsidR="003A271E" w:rsidRPr="00C929B1" w:rsidRDefault="00784F71" w:rsidP="004A3159">
            <w:pPr>
              <w:pageBreakBefore/>
              <w:jc w:val="both"/>
            </w:pPr>
            <w:r w:rsidRPr="00C929B1">
              <w:t>Objectives</w:t>
            </w:r>
          </w:p>
        </w:tc>
      </w:tr>
      <w:tr w:rsidR="003A271E" w:rsidRPr="00C929B1" w14:paraId="418870AB" w14:textId="77777777" w:rsidTr="007B377D">
        <w:tc>
          <w:tcPr>
            <w:tcW w:w="9072" w:type="dxa"/>
          </w:tcPr>
          <w:p w14:paraId="59F25A8B" w14:textId="3A9A9212" w:rsidR="003A271E" w:rsidRPr="00C929B1" w:rsidRDefault="007868D1" w:rsidP="002059B0">
            <w:pPr>
              <w:pStyle w:val="Odstavecseseznamem"/>
              <w:numPr>
                <w:ilvl w:val="2"/>
                <w:numId w:val="2"/>
              </w:numPr>
              <w:ind w:left="32" w:firstLine="0"/>
              <w:jc w:val="both"/>
            </w:pPr>
            <w:r w:rsidRPr="00C929B1">
              <w:t>By 202X</w:t>
            </w:r>
            <w:r w:rsidR="00784F71" w:rsidRPr="00C929B1">
              <w:t xml:space="preserve">, </w:t>
            </w:r>
            <w:r w:rsidRPr="00C929B1">
              <w:t xml:space="preserve">CEN and CENELEC </w:t>
            </w:r>
            <w:r w:rsidR="002059B0">
              <w:t>will act and be recognised as</w:t>
            </w:r>
            <w:r w:rsidR="00832E12">
              <w:t xml:space="preserve"> primary trusted partner</w:t>
            </w:r>
            <w:r w:rsidR="002059B0">
              <w:t>s</w:t>
            </w:r>
            <w:r w:rsidR="00832E12">
              <w:t xml:space="preserve"> </w:t>
            </w:r>
            <w:r w:rsidR="00784F71" w:rsidRPr="00C929B1">
              <w:t xml:space="preserve">in a </w:t>
            </w:r>
            <w:r w:rsidR="002059B0">
              <w:t>pre</w:t>
            </w:r>
            <w:r w:rsidR="00784F71" w:rsidRPr="00C929B1">
              <w:t>defin</w:t>
            </w:r>
            <w:r w:rsidR="00966E52" w:rsidRPr="00C929B1">
              <w:t xml:space="preserve">ed number of </w:t>
            </w:r>
            <w:r w:rsidR="002059B0">
              <w:t>key</w:t>
            </w:r>
            <w:r w:rsidR="00966E52" w:rsidRPr="00C929B1">
              <w:t xml:space="preserve"> policy areas.</w:t>
            </w:r>
          </w:p>
        </w:tc>
      </w:tr>
    </w:tbl>
    <w:p w14:paraId="2A5738B9" w14:textId="77777777" w:rsidR="00491420" w:rsidRPr="00C929B1" w:rsidRDefault="00B51322" w:rsidP="00BA4AEF">
      <w:pPr>
        <w:pStyle w:val="Odstavecseseznamem"/>
        <w:numPr>
          <w:ilvl w:val="1"/>
          <w:numId w:val="2"/>
        </w:numPr>
        <w:spacing w:before="240"/>
        <w:ind w:left="788" w:hanging="431"/>
        <w:jc w:val="both"/>
        <w:rPr>
          <w:b/>
        </w:rPr>
      </w:pPr>
      <w:r w:rsidRPr="00C929B1">
        <w:rPr>
          <w:b/>
        </w:rPr>
        <w:t>Revitali</w:t>
      </w:r>
      <w:r w:rsidR="001F3708">
        <w:rPr>
          <w:b/>
        </w:rPr>
        <w:t>s</w:t>
      </w:r>
      <w:r w:rsidRPr="00C929B1">
        <w:rPr>
          <w:b/>
        </w:rPr>
        <w:t>e the</w:t>
      </w:r>
      <w:r w:rsidR="000B492C">
        <w:rPr>
          <w:b/>
        </w:rPr>
        <w:t xml:space="preserve"> public-</w:t>
      </w:r>
      <w:r w:rsidR="00D64789" w:rsidRPr="00C929B1">
        <w:rPr>
          <w:b/>
        </w:rPr>
        <w:t>private part</w:t>
      </w:r>
      <w:r w:rsidR="00C10673" w:rsidRPr="00C929B1">
        <w:rPr>
          <w:b/>
        </w:rPr>
        <w:t>ne</w:t>
      </w:r>
      <w:r w:rsidR="00D64789" w:rsidRPr="00C929B1">
        <w:rPr>
          <w:b/>
        </w:rPr>
        <w:t xml:space="preserve">rship </w:t>
      </w:r>
      <w:r w:rsidR="00491420" w:rsidRPr="00C929B1">
        <w:rPr>
          <w:b/>
        </w:rPr>
        <w:t>with</w:t>
      </w:r>
      <w:r w:rsidR="00D64789" w:rsidRPr="00C929B1">
        <w:rPr>
          <w:b/>
        </w:rPr>
        <w:t>in the New Legi</w:t>
      </w:r>
      <w:r w:rsidR="00D60294" w:rsidRPr="00C929B1">
        <w:rPr>
          <w:b/>
        </w:rPr>
        <w:t>slative Framework</w:t>
      </w:r>
    </w:p>
    <w:p w14:paraId="6F27DA8F" w14:textId="6B06EFE6" w:rsidR="00784F71" w:rsidRPr="00C929B1" w:rsidRDefault="0086074C" w:rsidP="00C55593">
      <w:pPr>
        <w:jc w:val="both"/>
      </w:pPr>
      <w:r>
        <w:t>T</w:t>
      </w:r>
      <w:r w:rsidR="00734EBD" w:rsidRPr="00C929B1">
        <w:t>o explain the importanc</w:t>
      </w:r>
      <w:r w:rsidR="000B492C">
        <w:t xml:space="preserve">e of keeping standards </w:t>
      </w:r>
      <w:r w:rsidR="00EE4FEB">
        <w:t>voluntary and different</w:t>
      </w:r>
      <w:r w:rsidR="00734EBD" w:rsidRPr="00C929B1">
        <w:t xml:space="preserve"> from regulatory processes</w:t>
      </w:r>
      <w:r>
        <w:t xml:space="preserve"> is essential to reinforce the public private partnership</w:t>
      </w:r>
      <w:r w:rsidR="00832E12">
        <w:t xml:space="preserve"> between CEN, CENELEC and the European regulators and policy makers</w:t>
      </w:r>
      <w:r w:rsidR="00734EBD" w:rsidRPr="00C929B1">
        <w:t xml:space="preserve"> </w:t>
      </w:r>
      <w:r w:rsidR="001657B6">
        <w:t>This relationship is</w:t>
      </w:r>
      <w:r w:rsidR="00832E12" w:rsidRPr="00C929B1">
        <w:t xml:space="preserve"> stipulated under the New Legislative Framework. </w:t>
      </w:r>
      <w:r w:rsidR="00734EBD" w:rsidRPr="00C929B1">
        <w:t xml:space="preserve">There is a need to </w:t>
      </w:r>
      <w:r>
        <w:t xml:space="preserve">agree with </w:t>
      </w:r>
      <w:r w:rsidR="00734EBD" w:rsidRPr="00C929B1">
        <w:t xml:space="preserve">EU and EFTA </w:t>
      </w:r>
      <w:r w:rsidR="001139A8">
        <w:t>policy makers</w:t>
      </w:r>
      <w:r w:rsidR="00734EBD" w:rsidRPr="00C929B1">
        <w:t xml:space="preserve"> </w:t>
      </w:r>
      <w:r>
        <w:t xml:space="preserve">and </w:t>
      </w:r>
      <w:r w:rsidR="00832E12">
        <w:t>regulators</w:t>
      </w:r>
      <w:r>
        <w:t xml:space="preserve"> </w:t>
      </w:r>
      <w:r w:rsidR="00EE4FEB">
        <w:t>on</w:t>
      </w:r>
      <w:r w:rsidR="00734EBD" w:rsidRPr="00C929B1">
        <w:t xml:space="preserve"> the unique </w:t>
      </w:r>
      <w:r w:rsidR="000B492C" w:rsidRPr="00C929B1">
        <w:t xml:space="preserve">added </w:t>
      </w:r>
      <w:r w:rsidR="00734EBD" w:rsidRPr="00C929B1">
        <w:t xml:space="preserve">value of the public-private nature of the </w:t>
      </w:r>
      <w:r w:rsidR="00832E12">
        <w:t>European Standardization System (ESS)</w:t>
      </w:r>
      <w:r w:rsidR="00734EBD" w:rsidRPr="00C929B1">
        <w:t xml:space="preserve"> and the rights and obligations </w:t>
      </w:r>
      <w:r w:rsidR="007B23DE">
        <w:t>of</w:t>
      </w:r>
      <w:r w:rsidR="00734EBD" w:rsidRPr="00C929B1">
        <w:t xml:space="preserve"> the different actors involved</w:t>
      </w:r>
      <w:r w:rsidR="00832E12">
        <w:t xml:space="preserve">. </w:t>
      </w:r>
      <w:r w:rsidR="00734EBD" w:rsidRPr="00C929B1">
        <w:t>By working together and intensifying the dialogue, we can help each other identify</w:t>
      </w:r>
      <w:r w:rsidR="00EE4FEB">
        <w:t xml:space="preserve"> strengths</w:t>
      </w:r>
      <w:r w:rsidR="00734EBD" w:rsidRPr="00C929B1">
        <w:t xml:space="preserve"> and address outstanding </w:t>
      </w:r>
      <w:r w:rsidR="007B23DE">
        <w:t>challenges</w:t>
      </w:r>
      <w:r w:rsidR="007B23DE" w:rsidRPr="00C929B1">
        <w:t xml:space="preserve"> </w:t>
      </w:r>
      <w:r w:rsidR="00734EBD" w:rsidRPr="00C929B1">
        <w:t xml:space="preserve">and inefficiencies across the </w:t>
      </w:r>
      <w:r w:rsidR="002E6F53" w:rsidRPr="00C929B1">
        <w:t>ESS</w:t>
      </w:r>
      <w:r w:rsidR="00207486">
        <w:t>. In particular, t</w:t>
      </w:r>
      <w:r w:rsidR="00734EBD" w:rsidRPr="00C929B1">
        <w:t>his relates to the need for a well-functioning system for the development and publication of harmoni</w:t>
      </w:r>
      <w:r w:rsidR="000B492C">
        <w:t>z</w:t>
      </w:r>
      <w:r w:rsidR="00734EBD" w:rsidRPr="00C929B1">
        <w:t>ed standards (hEN).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55593" w:rsidRPr="00C929B1" w14:paraId="6A24F57F" w14:textId="77777777" w:rsidTr="007B377D">
        <w:tc>
          <w:tcPr>
            <w:tcW w:w="9072" w:type="dxa"/>
            <w:shd w:val="clear" w:color="auto" w:fill="DBE5F1" w:themeFill="accent1" w:themeFillTint="33"/>
          </w:tcPr>
          <w:p w14:paraId="66F8997B" w14:textId="77777777" w:rsidR="00C55593" w:rsidRPr="00C929B1" w:rsidRDefault="00C55593" w:rsidP="006D7E74">
            <w:pPr>
              <w:jc w:val="both"/>
            </w:pPr>
            <w:r w:rsidRPr="00C929B1">
              <w:t>Objectives</w:t>
            </w:r>
          </w:p>
        </w:tc>
      </w:tr>
      <w:tr w:rsidR="00C55593" w:rsidRPr="00C929B1" w14:paraId="2150C619" w14:textId="77777777" w:rsidTr="007B377D">
        <w:tc>
          <w:tcPr>
            <w:tcW w:w="9072" w:type="dxa"/>
          </w:tcPr>
          <w:p w14:paraId="26EB05F8" w14:textId="0E4B4415" w:rsidR="00C55593" w:rsidRPr="00C929B1" w:rsidRDefault="00C2647B" w:rsidP="00207486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>By 202X,</w:t>
            </w:r>
            <w:r w:rsidR="000E534F" w:rsidRPr="00C929B1">
              <w:t xml:space="preserve"> </w:t>
            </w:r>
            <w:r w:rsidR="00832E12">
              <w:t xml:space="preserve">CEN and CENELEC </w:t>
            </w:r>
            <w:r w:rsidR="0003255C" w:rsidRPr="00C929B1">
              <w:t>illustrate and adv</w:t>
            </w:r>
            <w:r w:rsidR="000B492C">
              <w:t xml:space="preserve">ocate </w:t>
            </w:r>
            <w:r w:rsidR="00C55593" w:rsidRPr="00C929B1">
              <w:t>the value and</w:t>
            </w:r>
            <w:r w:rsidR="0003255C" w:rsidRPr="00C929B1">
              <w:t xml:space="preserve"> uniqueness</w:t>
            </w:r>
            <w:r w:rsidR="00C55593" w:rsidRPr="00C929B1">
              <w:t xml:space="preserve"> </w:t>
            </w:r>
            <w:r w:rsidR="0003255C" w:rsidRPr="00C929B1">
              <w:t xml:space="preserve">of the </w:t>
            </w:r>
            <w:r w:rsidR="002E6F53" w:rsidRPr="00C929B1">
              <w:t>E</w:t>
            </w:r>
            <w:r w:rsidR="00832E12">
              <w:t xml:space="preserve">uropean Standardization System </w:t>
            </w:r>
            <w:r w:rsidR="00207486">
              <w:t>to European</w:t>
            </w:r>
            <w:r w:rsidR="00832E12">
              <w:t xml:space="preserve"> regulators and</w:t>
            </w:r>
            <w:r w:rsidR="00207486">
              <w:t xml:space="preserve"> policy makers</w:t>
            </w:r>
            <w:r w:rsidR="0003255C" w:rsidRPr="00C929B1">
              <w:t>.</w:t>
            </w:r>
          </w:p>
        </w:tc>
      </w:tr>
      <w:tr w:rsidR="00C55593" w:rsidRPr="00C929B1" w14:paraId="6A5B492C" w14:textId="77777777" w:rsidTr="007B377D">
        <w:tc>
          <w:tcPr>
            <w:tcW w:w="9072" w:type="dxa"/>
          </w:tcPr>
          <w:p w14:paraId="32CC801B" w14:textId="4E0A3A79" w:rsidR="00C55593" w:rsidRPr="00C929B1" w:rsidRDefault="00C2647B" w:rsidP="00C858D4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>By 202X,</w:t>
            </w:r>
            <w:r w:rsidR="00C55593" w:rsidRPr="00C929B1">
              <w:t xml:space="preserve"> </w:t>
            </w:r>
            <w:r w:rsidR="00832E12">
              <w:t>CEN and CENELEC</w:t>
            </w:r>
            <w:r w:rsidR="00C858D4" w:rsidRPr="00C929B1">
              <w:t xml:space="preserve"> identify and address outstanding </w:t>
            </w:r>
            <w:r w:rsidR="00C55593" w:rsidRPr="00C929B1">
              <w:t xml:space="preserve">issues and inefficiencies </w:t>
            </w:r>
            <w:r w:rsidR="00C858D4" w:rsidRPr="00C929B1">
              <w:t xml:space="preserve">across the </w:t>
            </w:r>
            <w:r w:rsidR="00832E12" w:rsidRPr="00C929B1">
              <w:t>E</w:t>
            </w:r>
            <w:r w:rsidR="00832E12">
              <w:t>uropean Standardization System</w:t>
            </w:r>
            <w:r w:rsidR="00C858D4" w:rsidRPr="00C929B1">
              <w:t xml:space="preserve">, </w:t>
            </w:r>
            <w:r w:rsidR="00C55593" w:rsidRPr="00C929B1">
              <w:t xml:space="preserve">in close cooperation and continuous dialogue </w:t>
            </w:r>
            <w:r w:rsidR="00C858D4" w:rsidRPr="00C929B1">
              <w:t>with European stakeholders</w:t>
            </w:r>
            <w:r w:rsidR="00832E12">
              <w:t>, regulators and</w:t>
            </w:r>
            <w:r w:rsidR="00C858D4" w:rsidRPr="00C929B1">
              <w:t xml:space="preserve"> </w:t>
            </w:r>
            <w:r w:rsidR="001139A8">
              <w:t>policy makers</w:t>
            </w:r>
            <w:r w:rsidR="00C55593" w:rsidRPr="00C929B1">
              <w:t>.</w:t>
            </w:r>
          </w:p>
        </w:tc>
      </w:tr>
      <w:tr w:rsidR="00C55593" w:rsidRPr="00C929B1" w14:paraId="35F7BBC2" w14:textId="77777777" w:rsidTr="007B377D">
        <w:tc>
          <w:tcPr>
            <w:tcW w:w="9072" w:type="dxa"/>
          </w:tcPr>
          <w:p w14:paraId="4B13141F" w14:textId="28DE2D65" w:rsidR="00C55593" w:rsidRPr="00C929B1" w:rsidRDefault="00C2647B" w:rsidP="00832E12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>By 202X,</w:t>
            </w:r>
            <w:r w:rsidR="00C55593" w:rsidRPr="00C929B1">
              <w:t xml:space="preserve"> </w:t>
            </w:r>
            <w:r w:rsidR="00832E12">
              <w:t>CEN and CENELEC</w:t>
            </w:r>
            <w:r w:rsidR="00C858D4" w:rsidRPr="00C929B1">
              <w:t xml:space="preserve"> </w:t>
            </w:r>
            <w:r w:rsidR="0003255C" w:rsidRPr="00C929B1">
              <w:t>T</w:t>
            </w:r>
            <w:r w:rsidR="000B492C">
              <w:t>echnical Committee</w:t>
            </w:r>
            <w:r w:rsidR="0003255C" w:rsidRPr="00C929B1">
              <w:t>s</w:t>
            </w:r>
            <w:r w:rsidR="000B492C">
              <w:t xml:space="preserve"> (TC)</w:t>
            </w:r>
            <w:r w:rsidR="0003255C" w:rsidRPr="00C929B1">
              <w:t xml:space="preserve"> </w:t>
            </w:r>
            <w:r w:rsidR="00832E12">
              <w:t xml:space="preserve">will be empowered with tailored knowledge </w:t>
            </w:r>
            <w:r w:rsidR="00C55593" w:rsidRPr="00C929B1">
              <w:t xml:space="preserve">on the obligations and </w:t>
            </w:r>
            <w:r w:rsidR="00C858D4" w:rsidRPr="00C929B1">
              <w:t>provisions</w:t>
            </w:r>
            <w:r w:rsidR="00C55593" w:rsidRPr="00C929B1">
              <w:t xml:space="preserve"> </w:t>
            </w:r>
            <w:r w:rsidR="00C858D4" w:rsidRPr="00C929B1">
              <w:t>required</w:t>
            </w:r>
            <w:r w:rsidR="00C55593" w:rsidRPr="00C929B1">
              <w:t xml:space="preserve"> </w:t>
            </w:r>
            <w:r w:rsidR="00207486">
              <w:t>for</w:t>
            </w:r>
            <w:r w:rsidR="00C55593" w:rsidRPr="00C929B1">
              <w:t xml:space="preserve"> the development of hEN.</w:t>
            </w:r>
          </w:p>
        </w:tc>
      </w:tr>
      <w:tr w:rsidR="00C55593" w:rsidRPr="00C929B1" w14:paraId="7BD86500" w14:textId="77777777" w:rsidTr="007B377D">
        <w:tc>
          <w:tcPr>
            <w:tcW w:w="9072" w:type="dxa"/>
          </w:tcPr>
          <w:p w14:paraId="7BEADACA" w14:textId="47CF0896" w:rsidR="007B377D" w:rsidRPr="00C929B1" w:rsidRDefault="00C2647B" w:rsidP="0069109E">
            <w:pPr>
              <w:pStyle w:val="Odstavecseseznamem"/>
              <w:numPr>
                <w:ilvl w:val="2"/>
                <w:numId w:val="12"/>
              </w:numPr>
              <w:ind w:left="0" w:firstLine="0"/>
              <w:jc w:val="both"/>
            </w:pPr>
            <w:r w:rsidRPr="00C929B1">
              <w:t>By 202X</w:t>
            </w:r>
            <w:r w:rsidR="00C858D4" w:rsidRPr="00C929B1">
              <w:t xml:space="preserve">, </w:t>
            </w:r>
            <w:r w:rsidR="00832E12">
              <w:t xml:space="preserve">CEN and CENELEC </w:t>
            </w:r>
            <w:r w:rsidR="0003255C" w:rsidRPr="00C929B1">
              <w:t>contribute to</w:t>
            </w:r>
            <w:r w:rsidR="00C55593" w:rsidRPr="00C929B1">
              <w:t xml:space="preserve"> a well-functioning system of timely citation of hEN.</w:t>
            </w:r>
          </w:p>
        </w:tc>
      </w:tr>
    </w:tbl>
    <w:p w14:paraId="37A7A750" w14:textId="77777777" w:rsidR="003A271E" w:rsidRPr="00C929B1" w:rsidRDefault="003A271E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C929B1">
        <w:br w:type="page"/>
      </w:r>
    </w:p>
    <w:p w14:paraId="35CA7AB6" w14:textId="4142A7A3" w:rsidR="006A7650" w:rsidRPr="00C929B1" w:rsidRDefault="0086074C" w:rsidP="00BA4AEF">
      <w:pPr>
        <w:pStyle w:val="Nadpis3"/>
        <w:numPr>
          <w:ilvl w:val="0"/>
          <w:numId w:val="2"/>
        </w:numPr>
        <w:spacing w:after="120"/>
        <w:ind w:left="357" w:hanging="357"/>
        <w:jc w:val="both"/>
      </w:pPr>
      <w:r>
        <w:t>O</w:t>
      </w:r>
      <w:r w:rsidR="00DA1AE0" w:rsidRPr="00C929B1">
        <w:t xml:space="preserve">ur </w:t>
      </w:r>
      <w:r w:rsidR="00734EBD" w:rsidRPr="00C929B1">
        <w:t>c</w:t>
      </w:r>
      <w:r w:rsidR="006A7650" w:rsidRPr="00C929B1">
        <w:t>ustomers</w:t>
      </w:r>
      <w:r w:rsidR="00477060" w:rsidRPr="00C929B1">
        <w:t xml:space="preserve"> </w:t>
      </w:r>
      <w:r w:rsidR="006A7650" w:rsidRPr="00C929B1">
        <w:t>benefit from state-of-the-art digital solutions</w:t>
      </w:r>
    </w:p>
    <w:p w14:paraId="33D25902" w14:textId="108FBF1E" w:rsidR="00E41363" w:rsidRDefault="00C10673" w:rsidP="00594F20">
      <w:pPr>
        <w:jc w:val="both"/>
      </w:pPr>
      <w:r w:rsidRPr="00C929B1">
        <w:t xml:space="preserve">CEN and CENELEC </w:t>
      </w:r>
      <w:r w:rsidR="007908C4" w:rsidRPr="00C929B1">
        <w:t xml:space="preserve">need to embrace the opportunities </w:t>
      </w:r>
      <w:r w:rsidR="00D20A90" w:rsidRPr="00C929B1">
        <w:t xml:space="preserve">provided by digitalisation </w:t>
      </w:r>
      <w:r w:rsidRPr="00C929B1">
        <w:t xml:space="preserve">to interact with </w:t>
      </w:r>
      <w:r w:rsidR="007905E6" w:rsidRPr="00C929B1">
        <w:t>customers</w:t>
      </w:r>
      <w:r w:rsidRPr="00C929B1">
        <w:t xml:space="preserve"> and new audiences</w:t>
      </w:r>
      <w:r w:rsidR="007B23DE">
        <w:t>,</w:t>
      </w:r>
      <w:r w:rsidR="00930BEA">
        <w:t xml:space="preserve"> and apply these</w:t>
      </w:r>
      <w:r w:rsidRPr="00C929B1">
        <w:t xml:space="preserve"> </w:t>
      </w:r>
      <w:r w:rsidR="00832E12">
        <w:t>b</w:t>
      </w:r>
      <w:r w:rsidRPr="00C929B1">
        <w:t xml:space="preserve">oth </w:t>
      </w:r>
      <w:r w:rsidR="00930BEA">
        <w:t>to</w:t>
      </w:r>
      <w:r w:rsidR="007908C4" w:rsidRPr="00C929B1">
        <w:t xml:space="preserve"> the </w:t>
      </w:r>
      <w:r w:rsidR="00734EBD" w:rsidRPr="00C929B1">
        <w:t xml:space="preserve">format of the </w:t>
      </w:r>
      <w:r w:rsidR="007908C4" w:rsidRPr="00C929B1">
        <w:t>standards we produce</w:t>
      </w:r>
      <w:r w:rsidR="00DE34A3">
        <w:t>,</w:t>
      </w:r>
      <w:r w:rsidR="007908C4" w:rsidRPr="00C929B1">
        <w:t xml:space="preserve"> </w:t>
      </w:r>
      <w:r w:rsidR="008A0FB5">
        <w:t>as well as</w:t>
      </w:r>
      <w:r w:rsidR="007908C4" w:rsidRPr="00C929B1">
        <w:t xml:space="preserve"> </w:t>
      </w:r>
      <w:r w:rsidR="007B23DE">
        <w:t xml:space="preserve">to </w:t>
      </w:r>
      <w:r w:rsidR="007908C4" w:rsidRPr="00C929B1">
        <w:t>how we pro</w:t>
      </w:r>
      <w:r w:rsidR="008A0FB5">
        <w:t xml:space="preserve">duce them. We live in a rapidly </w:t>
      </w:r>
      <w:r w:rsidR="007908C4" w:rsidRPr="00C929B1">
        <w:t>changing</w:t>
      </w:r>
      <w:r w:rsidR="00D649C2">
        <w:t>,</w:t>
      </w:r>
      <w:r w:rsidR="007908C4" w:rsidRPr="00C929B1">
        <w:t xml:space="preserve"> interconnected world, where </w:t>
      </w:r>
      <w:r w:rsidR="008A0FB5">
        <w:t>i</w:t>
      </w:r>
      <w:r w:rsidRPr="00C929B1">
        <w:t xml:space="preserve">nformation and </w:t>
      </w:r>
      <w:r w:rsidR="008A0FB5">
        <w:t>c</w:t>
      </w:r>
      <w:r w:rsidRPr="00C929B1">
        <w:t xml:space="preserve">ommunications </w:t>
      </w:r>
      <w:r w:rsidR="008A0FB5">
        <w:t>t</w:t>
      </w:r>
      <w:r w:rsidRPr="00C929B1">
        <w:t>echnology (</w:t>
      </w:r>
      <w:r w:rsidR="007908C4" w:rsidRPr="00C929B1">
        <w:t>ICT</w:t>
      </w:r>
      <w:r w:rsidR="00DE34A3">
        <w:t xml:space="preserve">) penetrates </w:t>
      </w:r>
      <w:r w:rsidRPr="00C929B1">
        <w:t>all areas of society</w:t>
      </w:r>
      <w:r w:rsidR="002343FF" w:rsidRPr="00C929B1">
        <w:t>. A</w:t>
      </w:r>
      <w:r w:rsidR="004F6B8A" w:rsidRPr="00C929B1">
        <w:t>s industrial processes</w:t>
      </w:r>
      <w:r w:rsidR="00652F57" w:rsidRPr="00C929B1">
        <w:t xml:space="preserve"> </w:t>
      </w:r>
      <w:r w:rsidR="00806B6A" w:rsidRPr="00C929B1">
        <w:t>change</w:t>
      </w:r>
      <w:r w:rsidR="00652F57" w:rsidRPr="00C929B1">
        <w:t>, including in traditionally non-digital</w:t>
      </w:r>
      <w:r w:rsidR="00D649C2">
        <w:t xml:space="preserve"> sectors, </w:t>
      </w:r>
      <w:r w:rsidR="008A0FB5">
        <w:t>the</w:t>
      </w:r>
      <w:r w:rsidR="00D649C2">
        <w:t xml:space="preserve"> standardization </w:t>
      </w:r>
      <w:r w:rsidR="00652F57" w:rsidRPr="00C929B1">
        <w:t xml:space="preserve">needs </w:t>
      </w:r>
      <w:r w:rsidR="008A0FB5">
        <w:t xml:space="preserve">of </w:t>
      </w:r>
      <w:r w:rsidR="00930BEA">
        <w:t>our stakeholders</w:t>
      </w:r>
      <w:r w:rsidR="008A0FB5">
        <w:t xml:space="preserve"> </w:t>
      </w:r>
      <w:r w:rsidR="00D20A90" w:rsidRPr="00C929B1">
        <w:t>evolve</w:t>
      </w:r>
      <w:r w:rsidR="00940C9D" w:rsidRPr="00C929B1">
        <w:t xml:space="preserve"> accordingly</w:t>
      </w:r>
      <w:r w:rsidR="00652F57" w:rsidRPr="00C929B1">
        <w:t>.</w:t>
      </w:r>
      <w:r w:rsidR="004F6B8A" w:rsidRPr="00C929B1">
        <w:t xml:space="preserve"> </w:t>
      </w:r>
      <w:r w:rsidR="00930BEA">
        <w:t>W</w:t>
      </w:r>
      <w:r w:rsidR="00930BEA" w:rsidRPr="00C929B1">
        <w:t xml:space="preserve">e </w:t>
      </w:r>
      <w:r w:rsidR="00930BEA">
        <w:t>want to</w:t>
      </w:r>
      <w:r w:rsidR="00930BEA" w:rsidRPr="00C929B1">
        <w:t xml:space="preserve"> adjust to the changing needs and expectations of our customers</w:t>
      </w:r>
      <w:r w:rsidR="00930BEA">
        <w:t xml:space="preserve"> in order to continue providing timely and market relevant digital standards.</w:t>
      </w:r>
    </w:p>
    <w:p w14:paraId="27AD60BE" w14:textId="5FD17FBF" w:rsidR="00930BEA" w:rsidRPr="00C929B1" w:rsidRDefault="00930BEA" w:rsidP="00594F20">
      <w:pPr>
        <w:jc w:val="both"/>
      </w:pPr>
      <w:r>
        <w:t>The strategic priorities and objectives which will support this goal are</w:t>
      </w:r>
      <w:r w:rsidR="007B23DE">
        <w:t xml:space="preserve"> the following</w:t>
      </w:r>
      <w:r>
        <w:t>:</w:t>
      </w:r>
    </w:p>
    <w:p w14:paraId="416529A6" w14:textId="77777777" w:rsidR="00DA1AE0" w:rsidRPr="00C929B1" w:rsidRDefault="00EE474F" w:rsidP="0069109E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C929B1">
        <w:rPr>
          <w:b/>
        </w:rPr>
        <w:t>P</w:t>
      </w:r>
      <w:r w:rsidR="004F6B8A" w:rsidRPr="00C929B1">
        <w:rPr>
          <w:b/>
        </w:rPr>
        <w:t>roduce standards for the digital</w:t>
      </w:r>
      <w:r w:rsidR="00936803" w:rsidRPr="00C929B1">
        <w:rPr>
          <w:b/>
        </w:rPr>
        <w:t xml:space="preserve"> </w:t>
      </w:r>
      <w:r w:rsidR="004F6B8A" w:rsidRPr="00C929B1">
        <w:rPr>
          <w:b/>
        </w:rPr>
        <w:t>economy</w:t>
      </w:r>
      <w:r w:rsidR="009878F5" w:rsidRPr="00C929B1">
        <w:rPr>
          <w:b/>
        </w:rPr>
        <w:t xml:space="preserve"> </w:t>
      </w:r>
    </w:p>
    <w:p w14:paraId="60FB89DD" w14:textId="726A0198" w:rsidR="006F4677" w:rsidRPr="00C929B1" w:rsidRDefault="00C10673" w:rsidP="00C55593">
      <w:pPr>
        <w:jc w:val="both"/>
      </w:pPr>
      <w:r w:rsidRPr="00C929B1">
        <w:t xml:space="preserve">CEN and CENELEC </w:t>
      </w:r>
      <w:r w:rsidR="00734773" w:rsidRPr="00C929B1">
        <w:t xml:space="preserve">need to </w:t>
      </w:r>
      <w:r w:rsidRPr="00C929B1">
        <w:t>improve the delivery of standards</w:t>
      </w:r>
      <w:r w:rsidR="00DE34A3">
        <w:t>,</w:t>
      </w:r>
      <w:r w:rsidRPr="00C929B1">
        <w:t xml:space="preserve"> </w:t>
      </w:r>
      <w:r w:rsidR="00930BEA">
        <w:t>making best use of</w:t>
      </w:r>
      <w:r w:rsidR="00930BEA" w:rsidRPr="00C929B1">
        <w:t xml:space="preserve"> </w:t>
      </w:r>
      <w:r w:rsidRPr="00C929B1">
        <w:t xml:space="preserve">technology to </w:t>
      </w:r>
      <w:r w:rsidR="008A0FB5">
        <w:t>increase the speed of</w:t>
      </w:r>
      <w:r w:rsidR="00734EBD" w:rsidRPr="00C929B1">
        <w:t xml:space="preserve"> development</w:t>
      </w:r>
      <w:r w:rsidRPr="00C929B1">
        <w:t xml:space="preserve">, </w:t>
      </w:r>
      <w:r w:rsidR="008A0FB5">
        <w:t xml:space="preserve">provide </w:t>
      </w:r>
      <w:r w:rsidRPr="00C929B1">
        <w:t>more innovative formats and higher quality</w:t>
      </w:r>
      <w:r w:rsidR="00930BEA">
        <w:t xml:space="preserve"> products</w:t>
      </w:r>
      <w:r w:rsidRPr="00C929B1">
        <w:t xml:space="preserve">. </w:t>
      </w:r>
      <w:r w:rsidR="00734EBD" w:rsidRPr="00C929B1">
        <w:t>This will be achieved</w:t>
      </w:r>
      <w:r w:rsidR="00D649C2">
        <w:t xml:space="preserve"> through the roll-</w:t>
      </w:r>
      <w:r w:rsidRPr="00C929B1">
        <w:t xml:space="preserve">out </w:t>
      </w:r>
      <w:r w:rsidR="00734773" w:rsidRPr="00C929B1">
        <w:t xml:space="preserve">of </w:t>
      </w:r>
      <w:r w:rsidRPr="00C929B1">
        <w:t>a suite of technologies</w:t>
      </w:r>
      <w:r w:rsidR="008A0FB5">
        <w:t>,</w:t>
      </w:r>
      <w:r w:rsidRPr="00C929B1">
        <w:t xml:space="preserve"> including </w:t>
      </w:r>
      <w:r w:rsidR="00734773" w:rsidRPr="00C929B1">
        <w:t>machine</w:t>
      </w:r>
      <w:r w:rsidR="00BD2488" w:rsidRPr="00C929B1">
        <w:t>-</w:t>
      </w:r>
      <w:r w:rsidR="00734773" w:rsidRPr="00C929B1">
        <w:t>readable</w:t>
      </w:r>
      <w:r w:rsidR="00B3015C" w:rsidRPr="00C929B1">
        <w:t xml:space="preserve"> formats (MRF)</w:t>
      </w:r>
      <w:r w:rsidR="00734773" w:rsidRPr="00C929B1">
        <w:t xml:space="preserve"> and </w:t>
      </w:r>
      <w:r w:rsidRPr="00C929B1">
        <w:t xml:space="preserve">other </w:t>
      </w:r>
      <w:r w:rsidR="00734773" w:rsidRPr="00C929B1">
        <w:t>digital products</w:t>
      </w:r>
      <w:r w:rsidR="00520E52" w:rsidRPr="00C929B1">
        <w:t xml:space="preserve">. </w:t>
      </w:r>
      <w:r w:rsidRPr="00C929B1">
        <w:t xml:space="preserve">These technologies will </w:t>
      </w:r>
      <w:r w:rsidR="00E14062" w:rsidRPr="00C929B1">
        <w:t>include</w:t>
      </w:r>
      <w:r w:rsidR="00167D79" w:rsidRPr="00C929B1">
        <w:t xml:space="preserve"> more agile and market-responsive standardization </w:t>
      </w:r>
      <w:r w:rsidR="00BD2488" w:rsidRPr="00C929B1">
        <w:t>formats</w:t>
      </w:r>
      <w:r w:rsidR="00E14062" w:rsidRPr="00C929B1">
        <w:t xml:space="preserve">, with options for </w:t>
      </w:r>
      <w:r w:rsidR="00BD2488" w:rsidRPr="00C929B1">
        <w:t>regular updates,</w:t>
      </w:r>
      <w:r w:rsidR="00E14062" w:rsidRPr="00C929B1">
        <w:t xml:space="preserve"> information delivery and </w:t>
      </w:r>
      <w:r w:rsidR="00BD2488" w:rsidRPr="00C929B1">
        <w:t>transparent interaction</w:t>
      </w:r>
      <w:r w:rsidR="001139A8">
        <w:t>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C55593" w:rsidRPr="00C929B1" w14:paraId="5F6058FA" w14:textId="77777777" w:rsidTr="007B377D">
        <w:tc>
          <w:tcPr>
            <w:tcW w:w="8931" w:type="dxa"/>
            <w:shd w:val="clear" w:color="auto" w:fill="DBE5F1" w:themeFill="accent1" w:themeFillTint="33"/>
          </w:tcPr>
          <w:p w14:paraId="2CE4C4D8" w14:textId="77777777" w:rsidR="00C55593" w:rsidRPr="00C929B1" w:rsidRDefault="00C55593" w:rsidP="006D7E74">
            <w:pPr>
              <w:jc w:val="both"/>
            </w:pPr>
            <w:r w:rsidRPr="00C929B1">
              <w:t>Objectives</w:t>
            </w:r>
          </w:p>
        </w:tc>
      </w:tr>
      <w:tr w:rsidR="00A25ED7" w:rsidRPr="00C929B1" w14:paraId="1F7A321D" w14:textId="77777777" w:rsidTr="007B377D">
        <w:tc>
          <w:tcPr>
            <w:tcW w:w="8931" w:type="dxa"/>
          </w:tcPr>
          <w:p w14:paraId="0E4245BE" w14:textId="67CC26F7" w:rsidR="00A25ED7" w:rsidRPr="00C929B1" w:rsidRDefault="00A25ED7" w:rsidP="00930BEA">
            <w:pPr>
              <w:jc w:val="both"/>
            </w:pPr>
            <w:r w:rsidRPr="00C929B1">
              <w:t xml:space="preserve">2.1.1. </w:t>
            </w:r>
            <w:r w:rsidR="00470CE1" w:rsidRPr="00C929B1">
              <w:t xml:space="preserve">By 202X, </w:t>
            </w:r>
            <w:r w:rsidR="00930BEA">
              <w:t>CEN and CENELEC</w:t>
            </w:r>
            <w:r w:rsidR="00470CE1" w:rsidRPr="00C929B1">
              <w:t xml:space="preserve"> </w:t>
            </w:r>
            <w:r w:rsidRPr="00C929B1">
              <w:t xml:space="preserve">scale </w:t>
            </w:r>
            <w:r w:rsidR="001734B5" w:rsidRPr="00C929B1">
              <w:t>up</w:t>
            </w:r>
            <w:r w:rsidR="001734B5">
              <w:t xml:space="preserve"> </w:t>
            </w:r>
            <w:r w:rsidRPr="00C929B1">
              <w:t xml:space="preserve">the production of </w:t>
            </w:r>
            <w:r w:rsidR="00D649C2">
              <w:t>(and translation into) machine-</w:t>
            </w:r>
            <w:r w:rsidR="00470CE1" w:rsidRPr="00C929B1">
              <w:t>r</w:t>
            </w:r>
            <w:r w:rsidRPr="00C929B1">
              <w:t>eadable</w:t>
            </w:r>
            <w:r w:rsidR="00470CE1" w:rsidRPr="00C929B1">
              <w:t xml:space="preserve"> and interpretable f</w:t>
            </w:r>
            <w:r w:rsidRPr="00C929B1">
              <w:t xml:space="preserve">ormats and </w:t>
            </w:r>
            <w:r w:rsidR="00470CE1" w:rsidRPr="00C929B1">
              <w:t xml:space="preserve">other </w:t>
            </w:r>
            <w:r w:rsidRPr="00C929B1">
              <w:t>digital products.</w:t>
            </w:r>
          </w:p>
        </w:tc>
      </w:tr>
      <w:tr w:rsidR="00A25ED7" w:rsidRPr="00C929B1" w14:paraId="34E776FE" w14:textId="77777777" w:rsidTr="007B377D">
        <w:tc>
          <w:tcPr>
            <w:tcW w:w="8931" w:type="dxa"/>
          </w:tcPr>
          <w:p w14:paraId="2DE13CD5" w14:textId="1DFFD096" w:rsidR="00A25ED7" w:rsidRPr="00C929B1" w:rsidRDefault="00A25ED7" w:rsidP="00A25ED7">
            <w:pPr>
              <w:jc w:val="both"/>
            </w:pPr>
            <w:r w:rsidRPr="00C929B1">
              <w:t xml:space="preserve">2.1.2. </w:t>
            </w:r>
            <w:r w:rsidR="00470CE1" w:rsidRPr="00C929B1">
              <w:t xml:space="preserve">By 202X, </w:t>
            </w:r>
            <w:r w:rsidR="00930BEA">
              <w:t>CEN and CENELEC</w:t>
            </w:r>
            <w:r w:rsidR="00470CE1" w:rsidRPr="00C929B1">
              <w:t xml:space="preserve"> systematically identify</w:t>
            </w:r>
            <w:r w:rsidRPr="00C929B1">
              <w:t xml:space="preserve"> emerging </w:t>
            </w:r>
            <w:r w:rsidR="00966E52" w:rsidRPr="00C929B1">
              <w:t>standardization</w:t>
            </w:r>
            <w:r w:rsidRPr="00C929B1">
              <w:t xml:space="preserve"> needs in cyber, digital and IT</w:t>
            </w:r>
            <w:r w:rsidR="00930BEA">
              <w:t xml:space="preserve"> fields</w:t>
            </w:r>
            <w:r w:rsidRPr="00C929B1">
              <w:t>.</w:t>
            </w:r>
          </w:p>
        </w:tc>
      </w:tr>
    </w:tbl>
    <w:p w14:paraId="2ECCD048" w14:textId="006C20FD" w:rsidR="00DA1AE0" w:rsidRPr="00124770" w:rsidRDefault="00A31FD0" w:rsidP="00BA4AEF">
      <w:pPr>
        <w:pStyle w:val="Odstavecseseznamem"/>
        <w:numPr>
          <w:ilvl w:val="0"/>
          <w:numId w:val="5"/>
        </w:numPr>
        <w:spacing w:before="240"/>
        <w:ind w:left="714" w:hanging="357"/>
        <w:jc w:val="both"/>
      </w:pPr>
      <w:r>
        <w:rPr>
          <w:b/>
        </w:rPr>
        <w:t>T</w:t>
      </w:r>
      <w:r w:rsidR="001203AD" w:rsidRPr="00124770">
        <w:rPr>
          <w:b/>
        </w:rPr>
        <w:t>ransform the standards development process</w:t>
      </w:r>
    </w:p>
    <w:p w14:paraId="025F241D" w14:textId="1462D202" w:rsidR="00C55593" w:rsidRPr="00C929B1" w:rsidRDefault="005F3B41" w:rsidP="00C55593">
      <w:pPr>
        <w:jc w:val="both"/>
      </w:pPr>
      <w:r w:rsidRPr="00C929B1">
        <w:t xml:space="preserve">The </w:t>
      </w:r>
      <w:r w:rsidR="009022FC" w:rsidRPr="00C929B1">
        <w:t xml:space="preserve">rapid </w:t>
      </w:r>
      <w:r w:rsidR="001203AD" w:rsidRPr="00C929B1">
        <w:t xml:space="preserve">rate of </w:t>
      </w:r>
      <w:r w:rsidR="009022FC" w:rsidRPr="00C929B1">
        <w:t xml:space="preserve">digital innovation requires </w:t>
      </w:r>
      <w:r w:rsidR="00133307" w:rsidRPr="00C929B1">
        <w:t>flexible</w:t>
      </w:r>
      <w:r w:rsidR="001203AD" w:rsidRPr="00C929B1">
        <w:t xml:space="preserve"> and</w:t>
      </w:r>
      <w:r w:rsidR="00133307" w:rsidRPr="00C929B1">
        <w:t xml:space="preserve"> reactive </w:t>
      </w:r>
      <w:r w:rsidR="009022FC" w:rsidRPr="00C929B1">
        <w:t xml:space="preserve">standardization </w:t>
      </w:r>
      <w:r w:rsidR="001139A8">
        <w:t>processes</w:t>
      </w:r>
      <w:r w:rsidR="009022FC" w:rsidRPr="00C929B1">
        <w:t xml:space="preserve">. </w:t>
      </w:r>
      <w:r w:rsidR="000A1B2A" w:rsidRPr="00C929B1">
        <w:t>CEN and CENELEC</w:t>
      </w:r>
      <w:r w:rsidR="00E128B5" w:rsidRPr="00C929B1">
        <w:t xml:space="preserve"> </w:t>
      </w:r>
      <w:r w:rsidR="001203AD" w:rsidRPr="00C929B1">
        <w:t>will</w:t>
      </w:r>
      <w:r w:rsidR="00E128B5" w:rsidRPr="00C929B1">
        <w:t xml:space="preserve"> invest in </w:t>
      </w:r>
      <w:r w:rsidR="00900468" w:rsidRPr="00C929B1">
        <w:t xml:space="preserve">the </w:t>
      </w:r>
      <w:r w:rsidR="00E128B5" w:rsidRPr="00C929B1">
        <w:t>develop</w:t>
      </w:r>
      <w:r w:rsidR="001203AD" w:rsidRPr="00C929B1">
        <w:t>ment</w:t>
      </w:r>
      <w:r w:rsidR="00E128B5" w:rsidRPr="00C929B1">
        <w:t xml:space="preserve"> </w:t>
      </w:r>
      <w:r w:rsidR="001203AD" w:rsidRPr="00C929B1">
        <w:t>of a</w:t>
      </w:r>
      <w:r w:rsidR="00E128B5" w:rsidRPr="00C929B1">
        <w:t xml:space="preserve"> user-friendly digital </w:t>
      </w:r>
      <w:r w:rsidR="001203AD" w:rsidRPr="00C929B1">
        <w:t xml:space="preserve">platform </w:t>
      </w:r>
      <w:r w:rsidR="00E128B5" w:rsidRPr="00C929B1">
        <w:t>for the efficient, collaborative authoring of standards</w:t>
      </w:r>
      <w:r w:rsidR="00900468" w:rsidRPr="00C929B1">
        <w:t>,</w:t>
      </w:r>
      <w:r w:rsidR="00E128B5" w:rsidRPr="00C929B1">
        <w:t xml:space="preserve"> allowing</w:t>
      </w:r>
      <w:r w:rsidR="001203AD" w:rsidRPr="00C929B1">
        <w:t xml:space="preserve"> for</w:t>
      </w:r>
      <w:r w:rsidR="00900468" w:rsidRPr="00C929B1">
        <w:t xml:space="preserve"> </w:t>
      </w:r>
      <w:r w:rsidR="009701A4">
        <w:t xml:space="preserve">a </w:t>
      </w:r>
      <w:r w:rsidR="00E128B5" w:rsidRPr="00C929B1">
        <w:t xml:space="preserve">timely </w:t>
      </w:r>
      <w:r w:rsidR="001928D1" w:rsidRPr="00C929B1">
        <w:t xml:space="preserve">delivery </w:t>
      </w:r>
      <w:r w:rsidR="00930BEA">
        <w:t>of standardization products</w:t>
      </w:r>
      <w:r w:rsidR="00E128B5" w:rsidRPr="00C929B1">
        <w:t>.</w:t>
      </w:r>
      <w:r w:rsidR="001139A8">
        <w:t xml:space="preserve"> </w:t>
      </w:r>
      <w:r w:rsidR="001203AD" w:rsidRPr="00C929B1">
        <w:t>This</w:t>
      </w:r>
      <w:r w:rsidR="00930BEA">
        <w:t xml:space="preserve"> will</w:t>
      </w:r>
      <w:r w:rsidR="001203AD" w:rsidRPr="00C929B1">
        <w:t xml:space="preserve"> </w:t>
      </w:r>
      <w:r w:rsidR="0055299F" w:rsidRPr="00C929B1">
        <w:t>include</w:t>
      </w:r>
      <w:r w:rsidR="00930BEA">
        <w:t xml:space="preserve"> </w:t>
      </w:r>
      <w:r w:rsidR="003F4BCA" w:rsidRPr="00C929B1">
        <w:t>a conv</w:t>
      </w:r>
      <w:r w:rsidR="00124770">
        <w:t>erged IT approach, between the i</w:t>
      </w:r>
      <w:r w:rsidR="003F4BCA" w:rsidRPr="00C929B1">
        <w:t xml:space="preserve">nternational and European standards bodies. </w:t>
      </w:r>
      <w:r w:rsidR="001203AD" w:rsidRPr="00C929B1">
        <w:t>Financial</w:t>
      </w:r>
      <w:r w:rsidR="003F4BCA" w:rsidRPr="00C929B1">
        <w:t xml:space="preserve"> </w:t>
      </w:r>
      <w:r w:rsidR="001734B5">
        <w:t>resources</w:t>
      </w:r>
      <w:r w:rsidR="001203AD" w:rsidRPr="00C929B1">
        <w:t xml:space="preserve"> will be</w:t>
      </w:r>
      <w:r w:rsidR="00794867" w:rsidRPr="00C929B1">
        <w:t xml:space="preserve"> </w:t>
      </w:r>
      <w:r w:rsidR="00D56D4F" w:rsidRPr="00C929B1">
        <w:t>mobili</w:t>
      </w:r>
      <w:r w:rsidR="00124770">
        <w:t>s</w:t>
      </w:r>
      <w:r w:rsidR="00D56D4F" w:rsidRPr="00C929B1">
        <w:t xml:space="preserve">ed </w:t>
      </w:r>
      <w:r w:rsidR="00794867" w:rsidRPr="00C929B1">
        <w:t xml:space="preserve">to modernise </w:t>
      </w:r>
      <w:r w:rsidR="00001173">
        <w:t>our</w:t>
      </w:r>
      <w:r w:rsidR="001734B5">
        <w:t xml:space="preserve"> </w:t>
      </w:r>
      <w:r w:rsidR="00794867" w:rsidRPr="00C929B1">
        <w:t>IT infrastructure</w:t>
      </w:r>
      <w:r w:rsidR="00001173">
        <w:t xml:space="preserve"> and, where necessary,</w:t>
      </w:r>
      <w:r w:rsidR="00794867" w:rsidRPr="00C929B1">
        <w:t xml:space="preserve"> </w:t>
      </w:r>
      <w:r w:rsidR="001203AD" w:rsidRPr="00C929B1">
        <w:t>CEN and CENELE</w:t>
      </w:r>
      <w:r w:rsidR="005174BA" w:rsidRPr="00C929B1">
        <w:t>C</w:t>
      </w:r>
      <w:r w:rsidR="001203AD" w:rsidRPr="00C929B1">
        <w:t xml:space="preserve"> will develop </w:t>
      </w:r>
      <w:r w:rsidR="00794867" w:rsidRPr="00C929B1">
        <w:t>support measures</w:t>
      </w:r>
      <w:r w:rsidR="00124770">
        <w:t xml:space="preserve"> and a phased roll-</w:t>
      </w:r>
      <w:r w:rsidR="001203AD" w:rsidRPr="00C929B1">
        <w:t>out</w:t>
      </w:r>
      <w:r w:rsidR="00794867" w:rsidRPr="00C929B1">
        <w:t xml:space="preserve"> to ensure that all </w:t>
      </w:r>
      <w:r w:rsidR="00F21705">
        <w:t>Members</w:t>
      </w:r>
      <w:r w:rsidR="00794867" w:rsidRPr="00C929B1">
        <w:t xml:space="preserve"> </w:t>
      </w:r>
      <w:r w:rsidR="00124770">
        <w:t xml:space="preserve">benefit from </w:t>
      </w:r>
      <w:r w:rsidR="001203AD" w:rsidRPr="00C929B1">
        <w:t>digital transformation</w:t>
      </w:r>
      <w:r w:rsidR="00794867" w:rsidRPr="00C929B1">
        <w:t>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55593" w:rsidRPr="00C929B1" w14:paraId="6FE8F245" w14:textId="77777777" w:rsidTr="007B377D">
        <w:tc>
          <w:tcPr>
            <w:tcW w:w="9072" w:type="dxa"/>
            <w:shd w:val="clear" w:color="auto" w:fill="DBE5F1" w:themeFill="accent1" w:themeFillTint="33"/>
          </w:tcPr>
          <w:p w14:paraId="16F92ABA" w14:textId="77777777" w:rsidR="00C55593" w:rsidRPr="00C929B1" w:rsidRDefault="00C55593" w:rsidP="006D7E74">
            <w:pPr>
              <w:jc w:val="both"/>
            </w:pPr>
            <w:r w:rsidRPr="00C929B1">
              <w:t>Objectives</w:t>
            </w:r>
          </w:p>
        </w:tc>
      </w:tr>
      <w:tr w:rsidR="00583468" w:rsidRPr="00C929B1" w14:paraId="4B997907" w14:textId="77777777" w:rsidTr="007B377D">
        <w:tc>
          <w:tcPr>
            <w:tcW w:w="9072" w:type="dxa"/>
          </w:tcPr>
          <w:p w14:paraId="56A32399" w14:textId="50E485F4" w:rsidR="00583468" w:rsidRPr="00C929B1" w:rsidRDefault="00583468" w:rsidP="00583468">
            <w:pPr>
              <w:jc w:val="both"/>
            </w:pPr>
            <w:r w:rsidRPr="00C929B1">
              <w:t>2.2.1. By 202X,</w:t>
            </w:r>
            <w:r w:rsidR="00930BEA">
              <w:t xml:space="preserve"> CEN and CENELEC </w:t>
            </w:r>
            <w:r w:rsidRPr="00C929B1">
              <w:t>provide an efficient, seamless and user-friendly digital</w:t>
            </w:r>
            <w:r w:rsidRPr="00C929B1">
              <w:rPr>
                <w:strike/>
                <w:color w:val="000000" w:themeColor="text1"/>
              </w:rPr>
              <w:t xml:space="preserve"> </w:t>
            </w:r>
            <w:r w:rsidRPr="00C929B1">
              <w:t>environment for standard</w:t>
            </w:r>
            <w:r w:rsidR="00124770">
              <w:t>s</w:t>
            </w:r>
            <w:r w:rsidR="0028145F">
              <w:t xml:space="preserve"> </w:t>
            </w:r>
            <w:r w:rsidRPr="00C929B1">
              <w:t>authoring.</w:t>
            </w:r>
          </w:p>
        </w:tc>
      </w:tr>
      <w:tr w:rsidR="00583468" w:rsidRPr="00C929B1" w14:paraId="6E74C38A" w14:textId="77777777" w:rsidTr="007B377D">
        <w:tc>
          <w:tcPr>
            <w:tcW w:w="9072" w:type="dxa"/>
          </w:tcPr>
          <w:p w14:paraId="59C4D037" w14:textId="69F3BD47" w:rsidR="00583468" w:rsidRPr="00C929B1" w:rsidRDefault="00583468" w:rsidP="0028145F">
            <w:pPr>
              <w:jc w:val="both"/>
            </w:pPr>
            <w:r w:rsidRPr="00C929B1">
              <w:t xml:space="preserve">2.2.2. By 202X, </w:t>
            </w:r>
            <w:r w:rsidR="00930BEA">
              <w:t>CEN and CENELEC</w:t>
            </w:r>
            <w:r w:rsidRPr="00C929B1">
              <w:t xml:space="preserve"> establish a collaboration platform </w:t>
            </w:r>
            <w:r w:rsidR="0028145F">
              <w:t>to improve</w:t>
            </w:r>
            <w:r w:rsidRPr="00C929B1">
              <w:t xml:space="preserve"> community access to information </w:t>
            </w:r>
            <w:r w:rsidR="0028145F">
              <w:t>and</w:t>
            </w:r>
            <w:r w:rsidRPr="00C929B1">
              <w:t xml:space="preserve"> strengthen collaborative work.</w:t>
            </w:r>
          </w:p>
        </w:tc>
      </w:tr>
    </w:tbl>
    <w:p w14:paraId="107E851D" w14:textId="77777777" w:rsidR="00C55593" w:rsidRPr="00C929B1" w:rsidRDefault="00C55593" w:rsidP="00C55593">
      <w:pPr>
        <w:jc w:val="both"/>
      </w:pPr>
    </w:p>
    <w:p w14:paraId="60C5664D" w14:textId="77777777" w:rsidR="00CC44EE" w:rsidRPr="00C929B1" w:rsidRDefault="00CC44EE" w:rsidP="0069109E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C929B1">
        <w:rPr>
          <w:b/>
        </w:rPr>
        <w:t>Ensure the l</w:t>
      </w:r>
      <w:r w:rsidR="001203AD" w:rsidRPr="00C929B1">
        <w:rPr>
          <w:b/>
        </w:rPr>
        <w:t>ong-term financial stability of the European Standard</w:t>
      </w:r>
      <w:r w:rsidR="00966E52" w:rsidRPr="00C929B1">
        <w:rPr>
          <w:b/>
        </w:rPr>
        <w:t>iz</w:t>
      </w:r>
      <w:r w:rsidR="002E0A09" w:rsidRPr="00C929B1">
        <w:rPr>
          <w:b/>
        </w:rPr>
        <w:t>ation</w:t>
      </w:r>
      <w:r w:rsidR="001203AD" w:rsidRPr="00C929B1">
        <w:rPr>
          <w:b/>
        </w:rPr>
        <w:t xml:space="preserve"> </w:t>
      </w:r>
      <w:r w:rsidR="005174BA" w:rsidRPr="00C929B1">
        <w:rPr>
          <w:b/>
        </w:rPr>
        <w:t>System</w:t>
      </w:r>
      <w:r w:rsidRPr="00C929B1">
        <w:rPr>
          <w:rStyle w:val="Znakapoznpodarou"/>
          <w:b/>
        </w:rPr>
        <w:footnoteReference w:id="3"/>
      </w:r>
    </w:p>
    <w:p w14:paraId="0FF27DBB" w14:textId="63DF1FB4" w:rsidR="00E41363" w:rsidRPr="00C929B1" w:rsidRDefault="001203AD" w:rsidP="00C55593">
      <w:pPr>
        <w:jc w:val="both"/>
      </w:pPr>
      <w:r w:rsidRPr="00C929B1">
        <w:t>P</w:t>
      </w:r>
      <w:r w:rsidR="00CA1EB1" w:rsidRPr="00C929B1">
        <w:t xml:space="preserve">roducing standards for the digital era will require a transformation that goes </w:t>
      </w:r>
      <w:r w:rsidR="00124770">
        <w:t xml:space="preserve">well </w:t>
      </w:r>
      <w:r w:rsidR="00CA1EB1" w:rsidRPr="00C929B1">
        <w:t xml:space="preserve">beyond </w:t>
      </w:r>
      <w:r w:rsidR="00053884" w:rsidRPr="00C929B1">
        <w:t xml:space="preserve">technical </w:t>
      </w:r>
      <w:r w:rsidR="00930BEA">
        <w:t>upgrades</w:t>
      </w:r>
      <w:r w:rsidR="001928D1" w:rsidRPr="00C929B1">
        <w:t xml:space="preserve">. </w:t>
      </w:r>
      <w:r w:rsidR="00CA1EB1" w:rsidRPr="00C929B1">
        <w:t xml:space="preserve">Embracing digital transformation will require a </w:t>
      </w:r>
      <w:r w:rsidR="00E41363" w:rsidRPr="00C929B1">
        <w:t>shift</w:t>
      </w:r>
      <w:r w:rsidR="00A41DB3" w:rsidRPr="00C929B1">
        <w:t xml:space="preserve"> in </w:t>
      </w:r>
      <w:r w:rsidR="00930BEA">
        <w:t xml:space="preserve">the current </w:t>
      </w:r>
      <w:r w:rsidR="00A41DB3" w:rsidRPr="00C929B1">
        <w:t>mindset</w:t>
      </w:r>
      <w:r w:rsidR="00900468" w:rsidRPr="00C929B1">
        <w:t xml:space="preserve"> and business models</w:t>
      </w:r>
      <w:r w:rsidR="00614EDC" w:rsidRPr="00C929B1">
        <w:t>. T</w:t>
      </w:r>
      <w:r w:rsidR="009022FC" w:rsidRPr="00C929B1">
        <w:t xml:space="preserve">o ensure </w:t>
      </w:r>
      <w:r w:rsidR="00614EDC" w:rsidRPr="00C929B1">
        <w:t xml:space="preserve">the long-term financial stability of the </w:t>
      </w:r>
      <w:r w:rsidR="00930BEA">
        <w:t>European Standardization System</w:t>
      </w:r>
      <w:r w:rsidR="00930BEA" w:rsidRPr="00C929B1">
        <w:t xml:space="preserve"> </w:t>
      </w:r>
      <w:r w:rsidR="00614EDC" w:rsidRPr="00C929B1">
        <w:t xml:space="preserve">and its </w:t>
      </w:r>
      <w:r w:rsidR="009022FC" w:rsidRPr="00C929B1">
        <w:t xml:space="preserve">future </w:t>
      </w:r>
      <w:r w:rsidR="00E128B5" w:rsidRPr="00C929B1">
        <w:t>relevance,</w:t>
      </w:r>
      <w:r w:rsidR="00E41363" w:rsidRPr="00C929B1">
        <w:t xml:space="preserve"> </w:t>
      </w:r>
      <w:r w:rsidR="00614EDC" w:rsidRPr="00C929B1">
        <w:t xml:space="preserve">CEN and CENELEC </w:t>
      </w:r>
      <w:r w:rsidR="00E41363" w:rsidRPr="00C929B1">
        <w:t xml:space="preserve">need to </w:t>
      </w:r>
      <w:r w:rsidR="00614EDC" w:rsidRPr="00C929B1">
        <w:t>assess</w:t>
      </w:r>
      <w:r w:rsidR="005174BA" w:rsidRPr="00C929B1">
        <w:t xml:space="preserve"> the impact of digitalisation </w:t>
      </w:r>
      <w:r w:rsidR="00124770">
        <w:t>on</w:t>
      </w:r>
      <w:r w:rsidR="005174BA" w:rsidRPr="00C929B1">
        <w:t xml:space="preserve"> </w:t>
      </w:r>
      <w:r w:rsidR="00001173">
        <w:t xml:space="preserve">their </w:t>
      </w:r>
      <w:r w:rsidR="005174BA" w:rsidRPr="00C929B1">
        <w:t>business model</w:t>
      </w:r>
      <w:r w:rsidR="00CC44EE" w:rsidRPr="00C929B1">
        <w:t>s</w:t>
      </w:r>
      <w:r w:rsidR="005174BA" w:rsidRPr="00C929B1">
        <w:t>.</w:t>
      </w:r>
      <w:r w:rsidR="00614EDC" w:rsidRPr="00C929B1">
        <w:t xml:space="preserve"> </w:t>
      </w:r>
      <w:r w:rsidR="003D7DDD">
        <w:t xml:space="preserve">Given </w:t>
      </w:r>
      <w:r w:rsidR="0028145F">
        <w:t>that</w:t>
      </w:r>
      <w:r w:rsidR="00900468" w:rsidRPr="00C929B1">
        <w:t xml:space="preserve"> business </w:t>
      </w:r>
      <w:r w:rsidR="00794867" w:rsidRPr="00C929B1">
        <w:t xml:space="preserve">models </w:t>
      </w:r>
      <w:r w:rsidR="0028145F">
        <w:t xml:space="preserve">differ from one </w:t>
      </w:r>
      <w:r w:rsidR="00930BEA">
        <w:t>M</w:t>
      </w:r>
      <w:r w:rsidR="0028145F">
        <w:t>ember to another</w:t>
      </w:r>
      <w:r w:rsidR="00794867" w:rsidRPr="00C929B1">
        <w:t xml:space="preserve">, </w:t>
      </w:r>
      <w:r w:rsidR="000A1B2A" w:rsidRPr="00C929B1">
        <w:t>CEN and CENELEC</w:t>
      </w:r>
      <w:r w:rsidR="00794867" w:rsidRPr="00C929B1">
        <w:t xml:space="preserve"> </w:t>
      </w:r>
      <w:r w:rsidR="00614EDC" w:rsidRPr="00C929B1">
        <w:t xml:space="preserve">will </w:t>
      </w:r>
      <w:r w:rsidR="005F06DF" w:rsidRPr="00C929B1">
        <w:t xml:space="preserve">support </w:t>
      </w:r>
      <w:r w:rsidR="00001173">
        <w:t xml:space="preserve">their </w:t>
      </w:r>
      <w:r w:rsidR="00F21705">
        <w:t>Members</w:t>
      </w:r>
      <w:r w:rsidR="005F06DF" w:rsidRPr="00C929B1">
        <w:t xml:space="preserve"> in their </w:t>
      </w:r>
      <w:r w:rsidR="00930BEA">
        <w:t xml:space="preserve">assessment and </w:t>
      </w:r>
      <w:r w:rsidR="005F06DF" w:rsidRPr="00C929B1">
        <w:t>strategic preparations</w:t>
      </w:r>
      <w:r w:rsidR="00930BEA">
        <w:t xml:space="preserve">, as well as </w:t>
      </w:r>
      <w:r w:rsidR="005F06DF" w:rsidRPr="00C929B1">
        <w:t>facilitate research and mapping exercises to identify best practices</w:t>
      </w:r>
      <w:r w:rsidR="00930BEA">
        <w:t xml:space="preserve"> for sustainable financing models</w:t>
      </w:r>
      <w:r w:rsidR="005F06DF" w:rsidRPr="00C929B1">
        <w:t>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55593" w:rsidRPr="00C929B1" w14:paraId="51223DCD" w14:textId="77777777" w:rsidTr="007B377D">
        <w:tc>
          <w:tcPr>
            <w:tcW w:w="9072" w:type="dxa"/>
            <w:shd w:val="clear" w:color="auto" w:fill="DBE5F1" w:themeFill="accent1" w:themeFillTint="33"/>
          </w:tcPr>
          <w:p w14:paraId="64CE15AB" w14:textId="77777777" w:rsidR="00C55593" w:rsidRPr="00C929B1" w:rsidRDefault="00C55593" w:rsidP="006D7E74">
            <w:pPr>
              <w:jc w:val="both"/>
            </w:pPr>
            <w:r w:rsidRPr="00C929B1">
              <w:t>Objectives</w:t>
            </w:r>
          </w:p>
        </w:tc>
      </w:tr>
      <w:tr w:rsidR="00AD17AB" w:rsidRPr="00C929B1" w14:paraId="70F3AD2E" w14:textId="77777777" w:rsidTr="007B377D">
        <w:tc>
          <w:tcPr>
            <w:tcW w:w="9072" w:type="dxa"/>
          </w:tcPr>
          <w:p w14:paraId="29A9C4E7" w14:textId="28BB0D30" w:rsidR="00AD17AB" w:rsidRPr="00C929B1" w:rsidRDefault="00AD17AB" w:rsidP="00930BEA">
            <w:pPr>
              <w:jc w:val="both"/>
            </w:pPr>
            <w:r w:rsidRPr="00C929B1">
              <w:t xml:space="preserve">2.3.1. By 202X, </w:t>
            </w:r>
            <w:r w:rsidR="00930BEA">
              <w:t xml:space="preserve">CEN and CENELEC will </w:t>
            </w:r>
            <w:r w:rsidR="00C83E99" w:rsidRPr="00C929B1">
              <w:t xml:space="preserve">proactively </w:t>
            </w:r>
            <w:r w:rsidRPr="00C929B1">
              <w:t>s</w:t>
            </w:r>
            <w:r w:rsidR="00517885" w:rsidRPr="00C929B1">
              <w:t xml:space="preserve">upport </w:t>
            </w:r>
            <w:r w:rsidR="00930BEA">
              <w:t>their</w:t>
            </w:r>
            <w:r w:rsidRPr="00C929B1">
              <w:t xml:space="preserve"> </w:t>
            </w:r>
            <w:r w:rsidR="00F21705">
              <w:t>Members</w:t>
            </w:r>
            <w:r w:rsidRPr="00C929B1">
              <w:t xml:space="preserve"> in adapting their business and financing models to address the challenges and opportunities </w:t>
            </w:r>
            <w:r w:rsidR="0028145F">
              <w:t>that arise from</w:t>
            </w:r>
            <w:r w:rsidRPr="00C929B1">
              <w:t xml:space="preserve"> digitalisation.</w:t>
            </w:r>
          </w:p>
        </w:tc>
      </w:tr>
    </w:tbl>
    <w:p w14:paraId="4F47A0B1" w14:textId="77777777" w:rsidR="003A271E" w:rsidRPr="00C929B1" w:rsidRDefault="003A271E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C929B1">
        <w:br w:type="page"/>
      </w:r>
    </w:p>
    <w:p w14:paraId="09EC7E32" w14:textId="5C173D74" w:rsidR="001A74B7" w:rsidRPr="00C929B1" w:rsidRDefault="009701A4" w:rsidP="00BA4AEF">
      <w:pPr>
        <w:pStyle w:val="Nadpis3"/>
        <w:numPr>
          <w:ilvl w:val="0"/>
          <w:numId w:val="2"/>
        </w:numPr>
        <w:spacing w:after="120"/>
        <w:ind w:left="357" w:hanging="357"/>
        <w:jc w:val="both"/>
      </w:pPr>
      <w:r>
        <w:t>I</w:t>
      </w:r>
      <w:r w:rsidR="003E305C" w:rsidRPr="00C929B1">
        <w:t>ncrease</w:t>
      </w:r>
      <w:r w:rsidR="00347864" w:rsidRPr="00C929B1">
        <w:t xml:space="preserve"> the</w:t>
      </w:r>
      <w:r w:rsidR="003E305C" w:rsidRPr="00C929B1">
        <w:t xml:space="preserve"> </w:t>
      </w:r>
      <w:r w:rsidR="00C757D0" w:rsidRPr="00C929B1">
        <w:t>use</w:t>
      </w:r>
      <w:r w:rsidR="00252AB0" w:rsidRPr="00C929B1">
        <w:t xml:space="preserve"> and awareness</w:t>
      </w:r>
      <w:r w:rsidR="006101FF" w:rsidRPr="00C929B1">
        <w:t xml:space="preserve"> </w:t>
      </w:r>
      <w:r w:rsidR="00C757D0" w:rsidRPr="00C929B1">
        <w:t xml:space="preserve">of </w:t>
      </w:r>
      <w:r w:rsidR="003E305C" w:rsidRPr="00C929B1">
        <w:t xml:space="preserve">CEN and CENELEC </w:t>
      </w:r>
      <w:r w:rsidR="00C757D0" w:rsidRPr="00C929B1">
        <w:t>standards</w:t>
      </w:r>
      <w:r w:rsidR="00252AB0" w:rsidRPr="00C929B1">
        <w:t xml:space="preserve"> </w:t>
      </w:r>
    </w:p>
    <w:p w14:paraId="50B1FA1D" w14:textId="6EFAB787" w:rsidR="00487053" w:rsidRDefault="003E305C" w:rsidP="00594F20">
      <w:pPr>
        <w:jc w:val="both"/>
      </w:pPr>
      <w:r w:rsidRPr="00C929B1">
        <w:t xml:space="preserve">To ensure the widest possible use </w:t>
      </w:r>
      <w:r w:rsidR="00347864" w:rsidRPr="00C929B1">
        <w:t xml:space="preserve">and </w:t>
      </w:r>
      <w:r w:rsidR="00252AB0" w:rsidRPr="00C929B1">
        <w:t xml:space="preserve">understanding </w:t>
      </w:r>
      <w:r w:rsidRPr="00C929B1">
        <w:t>of CEN and CENELEC standards</w:t>
      </w:r>
      <w:r w:rsidR="00001173">
        <w:t>,</w:t>
      </w:r>
      <w:r w:rsidRPr="00C929B1">
        <w:t xml:space="preserve"> </w:t>
      </w:r>
      <w:r w:rsidR="00C009BB" w:rsidRPr="00C929B1">
        <w:t xml:space="preserve">we </w:t>
      </w:r>
      <w:r w:rsidR="00473F06" w:rsidRPr="00C929B1">
        <w:t xml:space="preserve">need to better communicate and promote our work and the unique </w:t>
      </w:r>
      <w:r w:rsidR="00F32366" w:rsidRPr="00C929B1">
        <w:t>add</w:t>
      </w:r>
      <w:r w:rsidR="00252AB0" w:rsidRPr="00C929B1">
        <w:t>ed</w:t>
      </w:r>
      <w:r w:rsidR="00473F06" w:rsidRPr="00C929B1">
        <w:t xml:space="preserve"> </w:t>
      </w:r>
      <w:r w:rsidR="003D7DDD" w:rsidRPr="00C929B1">
        <w:t xml:space="preserve">value </w:t>
      </w:r>
      <w:r w:rsidR="00473F06" w:rsidRPr="00C929B1">
        <w:t xml:space="preserve">of the </w:t>
      </w:r>
      <w:r w:rsidR="00930BEA">
        <w:t>European Standardization System</w:t>
      </w:r>
      <w:r w:rsidR="00930BEA" w:rsidRPr="00C929B1">
        <w:t xml:space="preserve"> </w:t>
      </w:r>
      <w:r w:rsidR="00473F06" w:rsidRPr="00C929B1">
        <w:t>to a</w:t>
      </w:r>
      <w:r w:rsidR="005174BA" w:rsidRPr="00C929B1">
        <w:t>ll</w:t>
      </w:r>
      <w:r w:rsidR="009701A4">
        <w:t xml:space="preserve"> relevant</w:t>
      </w:r>
      <w:r w:rsidR="00473F06" w:rsidRPr="00C929B1">
        <w:t xml:space="preserve"> stakeholders.</w:t>
      </w:r>
    </w:p>
    <w:p w14:paraId="56D4FBFB" w14:textId="235FB653" w:rsidR="00930BEA" w:rsidRPr="00C929B1" w:rsidRDefault="00930BEA" w:rsidP="00594F20">
      <w:pPr>
        <w:jc w:val="both"/>
      </w:pPr>
      <w:r>
        <w:t>The strategic priorities and objectives which will support this goal are</w:t>
      </w:r>
      <w:r w:rsidR="009701A4">
        <w:t xml:space="preserve"> the following</w:t>
      </w:r>
      <w:r>
        <w:t>:</w:t>
      </w:r>
    </w:p>
    <w:p w14:paraId="43D3B708" w14:textId="77777777" w:rsidR="002E0A09" w:rsidRPr="00C929B1" w:rsidRDefault="00B51322" w:rsidP="0069109E">
      <w:pPr>
        <w:pStyle w:val="Odstavecseseznamem"/>
        <w:numPr>
          <w:ilvl w:val="0"/>
          <w:numId w:val="7"/>
        </w:numPr>
        <w:jc w:val="both"/>
      </w:pPr>
      <w:r w:rsidRPr="00C929B1">
        <w:rPr>
          <w:b/>
        </w:rPr>
        <w:t>Increase</w:t>
      </w:r>
      <w:r w:rsidR="003E305C" w:rsidRPr="00C929B1">
        <w:rPr>
          <w:b/>
        </w:rPr>
        <w:t xml:space="preserve"> </w:t>
      </w:r>
      <w:r w:rsidR="00487053" w:rsidRPr="00C929B1">
        <w:rPr>
          <w:b/>
        </w:rPr>
        <w:t xml:space="preserve">awareness about the </w:t>
      </w:r>
      <w:r w:rsidR="000F269D" w:rsidRPr="00C929B1">
        <w:rPr>
          <w:b/>
        </w:rPr>
        <w:t>strategic value of our work</w:t>
      </w:r>
    </w:p>
    <w:p w14:paraId="2C21887F" w14:textId="7B92AE7D" w:rsidR="003E305C" w:rsidRPr="00C929B1" w:rsidRDefault="003E305C" w:rsidP="009C2AEA">
      <w:pPr>
        <w:jc w:val="both"/>
      </w:pPr>
      <w:r w:rsidRPr="00C929B1">
        <w:t xml:space="preserve">The benefits of CEN and CENELEC standards should be </w:t>
      </w:r>
      <w:r w:rsidR="005174BA" w:rsidRPr="00C929B1">
        <w:t>communicated</w:t>
      </w:r>
      <w:r w:rsidR="00A237D1">
        <w:t xml:space="preserve"> through tailored engagement strategies</w:t>
      </w:r>
      <w:r w:rsidRPr="00C929B1">
        <w:t xml:space="preserve"> to as wide an audience as possible, both at the </w:t>
      </w:r>
      <w:r w:rsidR="003D7DDD">
        <w:t xml:space="preserve">national and </w:t>
      </w:r>
      <w:r w:rsidR="009701A4">
        <w:t xml:space="preserve">at the </w:t>
      </w:r>
      <w:r w:rsidR="003D7DDD" w:rsidRPr="00C929B1">
        <w:t xml:space="preserve">European </w:t>
      </w:r>
      <w:r w:rsidRPr="00C929B1">
        <w:t xml:space="preserve">level. </w:t>
      </w:r>
      <w:r w:rsidR="003D7DDD">
        <w:t>Th</w:t>
      </w:r>
      <w:r w:rsidR="00A237D1">
        <w:t>is approach</w:t>
      </w:r>
      <w:r w:rsidR="009C2AEA" w:rsidRPr="00C929B1">
        <w:t xml:space="preserve"> will require research to establish the different needs of</w:t>
      </w:r>
      <w:r w:rsidR="009701A4">
        <w:t xml:space="preserve"> different</w:t>
      </w:r>
      <w:r w:rsidR="009C2AEA" w:rsidRPr="00C929B1">
        <w:t xml:space="preserve"> industries</w:t>
      </w:r>
      <w:r w:rsidR="00A237D1">
        <w:t>, SMEs, consumers</w:t>
      </w:r>
      <w:r w:rsidR="009C2AEA" w:rsidRPr="00C929B1">
        <w:t xml:space="preserve"> and other stakeholders, as well as a mapping</w:t>
      </w:r>
      <w:r w:rsidR="00900468" w:rsidRPr="00C929B1">
        <w:t xml:space="preserve"> exercise</w:t>
      </w:r>
      <w:r w:rsidR="009C2AEA" w:rsidRPr="00C929B1">
        <w:t xml:space="preserve"> </w:t>
      </w:r>
      <w:r w:rsidR="00900468" w:rsidRPr="00C929B1">
        <w:t>to</w:t>
      </w:r>
      <w:r w:rsidR="00A237D1">
        <w:t xml:space="preserve"> </w:t>
      </w:r>
      <w:r w:rsidR="009701A4">
        <w:t xml:space="preserve">identify </w:t>
      </w:r>
      <w:r w:rsidR="00A237D1">
        <w:t>evidence</w:t>
      </w:r>
      <w:r w:rsidR="009701A4">
        <w:t>-</w:t>
      </w:r>
      <w:r w:rsidR="00A237D1">
        <w:t>based</w:t>
      </w:r>
      <w:r w:rsidR="009C2AEA" w:rsidRPr="00C929B1">
        <w:t xml:space="preserve"> best practice examples </w:t>
      </w:r>
      <w:r w:rsidR="00900468" w:rsidRPr="00C929B1">
        <w:t>of how</w:t>
      </w:r>
      <w:r w:rsidR="009C2AEA" w:rsidRPr="00C929B1">
        <w:t xml:space="preserve"> CEN and CENELEC </w:t>
      </w:r>
      <w:r w:rsidR="00F21705">
        <w:t>Members</w:t>
      </w:r>
      <w:r w:rsidR="009C2AEA" w:rsidRPr="00C929B1">
        <w:t xml:space="preserve"> </w:t>
      </w:r>
      <w:r w:rsidR="00900468" w:rsidRPr="00C929B1">
        <w:t>communicate</w:t>
      </w:r>
      <w:r w:rsidR="009C2AEA" w:rsidRPr="00C929B1">
        <w:t xml:space="preserve"> </w:t>
      </w:r>
      <w:r w:rsidR="009701A4">
        <w:t xml:space="preserve">and engage with </w:t>
      </w:r>
      <w:r w:rsidR="003D7DDD">
        <w:t>different types of</w:t>
      </w:r>
      <w:r w:rsidR="00A44D34">
        <w:t xml:space="preserve"> existing and prospective</w:t>
      </w:r>
      <w:r w:rsidR="003D7DDD">
        <w:t xml:space="preserve"> standards </w:t>
      </w:r>
      <w:r w:rsidR="009C2AEA" w:rsidRPr="00C929B1">
        <w:t>users. This</w:t>
      </w:r>
      <w:r w:rsidR="00A237D1">
        <w:t xml:space="preserve"> </w:t>
      </w:r>
      <w:r w:rsidR="009C2AEA" w:rsidRPr="00C929B1">
        <w:t>will allow us to develop</w:t>
      </w:r>
      <w:r w:rsidR="00900468" w:rsidRPr="00C929B1">
        <w:t xml:space="preserve"> bespoke</w:t>
      </w:r>
      <w:r w:rsidR="009C2AEA" w:rsidRPr="00C929B1">
        <w:t xml:space="preserve"> training</w:t>
      </w:r>
      <w:r w:rsidR="00A237D1">
        <w:t>s</w:t>
      </w:r>
      <w:r w:rsidR="009C2AEA" w:rsidRPr="00C929B1">
        <w:t xml:space="preserve">, </w:t>
      </w:r>
      <w:r w:rsidR="00A237D1">
        <w:t>engagement</w:t>
      </w:r>
      <w:r w:rsidR="00A237D1" w:rsidRPr="00C929B1">
        <w:t xml:space="preserve"> </w:t>
      </w:r>
      <w:r w:rsidRPr="00C929B1">
        <w:t>campaigns</w:t>
      </w:r>
      <w:r w:rsidR="009C2AEA" w:rsidRPr="00C929B1">
        <w:t xml:space="preserve"> and </w:t>
      </w:r>
      <w:r w:rsidR="00A237D1">
        <w:t xml:space="preserve">digital </w:t>
      </w:r>
      <w:r w:rsidR="00001173">
        <w:t xml:space="preserve">toolkits to engage with </w:t>
      </w:r>
      <w:r w:rsidR="00A237D1">
        <w:t xml:space="preserve">our </w:t>
      </w:r>
      <w:r w:rsidR="00001173">
        <w:t>different stakeholder communities</w:t>
      </w:r>
      <w:r w:rsidR="00835CF3">
        <w:t>.</w:t>
      </w:r>
      <w:r w:rsidR="009C2AEA" w:rsidRPr="00C929B1">
        <w:t xml:space="preserve"> CEN and CENELC </w:t>
      </w:r>
      <w:r w:rsidR="00F21705">
        <w:t>Members</w:t>
      </w:r>
      <w:r w:rsidR="00835CF3">
        <w:t xml:space="preserve"> will be able</w:t>
      </w:r>
      <w:r w:rsidR="009C2AEA" w:rsidRPr="00C929B1">
        <w:t xml:space="preserve"> to use </w:t>
      </w:r>
      <w:r w:rsidR="00A44D34">
        <w:t>tailor-made toolkits</w:t>
      </w:r>
      <w:r w:rsidR="00835CF3">
        <w:t xml:space="preserve"> at the national level</w:t>
      </w:r>
      <w:r w:rsidR="00A44D34">
        <w:t>,</w:t>
      </w:r>
      <w:r w:rsidR="00835CF3">
        <w:t xml:space="preserve"> </w:t>
      </w:r>
      <w:r w:rsidR="009C2AEA" w:rsidRPr="00C929B1">
        <w:t>to communicate</w:t>
      </w:r>
      <w:r w:rsidR="002204EF" w:rsidRPr="00C929B1">
        <w:t xml:space="preserve"> </w:t>
      </w:r>
      <w:r w:rsidR="009C2AEA" w:rsidRPr="00C929B1">
        <w:t>about the</w:t>
      </w:r>
      <w:r w:rsidRPr="00C929B1">
        <w:t xml:space="preserve"> ro</w:t>
      </w:r>
      <w:r w:rsidR="009C2AEA" w:rsidRPr="00C929B1">
        <w:t xml:space="preserve">le </w:t>
      </w:r>
      <w:r w:rsidR="002204EF" w:rsidRPr="00C929B1">
        <w:t xml:space="preserve">and </w:t>
      </w:r>
      <w:r w:rsidR="00A44D34">
        <w:t>strategic</w:t>
      </w:r>
      <w:r w:rsidR="002204EF" w:rsidRPr="00C929B1">
        <w:t xml:space="preserve"> </w:t>
      </w:r>
      <w:r w:rsidR="003D7DDD" w:rsidRPr="00C929B1">
        <w:t xml:space="preserve">value </w:t>
      </w:r>
      <w:r w:rsidR="009C2AEA" w:rsidRPr="00C929B1">
        <w:t>of CEN and CENELEC standards</w:t>
      </w:r>
      <w:r w:rsidR="00900468" w:rsidRPr="00C929B1">
        <w:t xml:space="preserve"> and the </w:t>
      </w:r>
      <w:r w:rsidR="00A237D1">
        <w:t>European Standardization System</w:t>
      </w:r>
      <w:r w:rsidR="00A44D34">
        <w:t>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B377D" w:rsidRPr="00C929B1" w14:paraId="0EA147C0" w14:textId="77777777" w:rsidTr="006D7E74">
        <w:tc>
          <w:tcPr>
            <w:tcW w:w="9072" w:type="dxa"/>
            <w:shd w:val="clear" w:color="auto" w:fill="DBE5F1" w:themeFill="accent1" w:themeFillTint="33"/>
          </w:tcPr>
          <w:p w14:paraId="1D7E3AC5" w14:textId="77777777" w:rsidR="007B377D" w:rsidRPr="00C929B1" w:rsidRDefault="007B377D" w:rsidP="006D7E74">
            <w:pPr>
              <w:jc w:val="both"/>
            </w:pPr>
            <w:r w:rsidRPr="00C929B1">
              <w:t>Objectives</w:t>
            </w:r>
          </w:p>
        </w:tc>
      </w:tr>
      <w:tr w:rsidR="00177623" w:rsidRPr="00C929B1" w14:paraId="26FA6453" w14:textId="77777777" w:rsidTr="006D7E74">
        <w:tc>
          <w:tcPr>
            <w:tcW w:w="9072" w:type="dxa"/>
          </w:tcPr>
          <w:p w14:paraId="5C4A3C5B" w14:textId="4414F807" w:rsidR="00177623" w:rsidRPr="00C929B1" w:rsidRDefault="00900468" w:rsidP="00A520EA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 xml:space="preserve">By 202X, </w:t>
            </w:r>
            <w:r w:rsidR="00A237D1">
              <w:t>CEN and CENELEC</w:t>
            </w:r>
            <w:r w:rsidRPr="00C929B1">
              <w:t xml:space="preserve"> establish and maintain a robus</w:t>
            </w:r>
            <w:r w:rsidR="003D7DDD">
              <w:t xml:space="preserve">t system </w:t>
            </w:r>
            <w:r w:rsidR="00A237D1">
              <w:t xml:space="preserve">to gather </w:t>
            </w:r>
            <w:r w:rsidR="003D7DDD">
              <w:t xml:space="preserve">evidence </w:t>
            </w:r>
            <w:r w:rsidR="00A237D1">
              <w:t>and enable pro-active</w:t>
            </w:r>
            <w:r w:rsidRPr="00C929B1">
              <w:t xml:space="preserve"> stakeholder engagement.</w:t>
            </w:r>
          </w:p>
        </w:tc>
      </w:tr>
      <w:tr w:rsidR="007B377D" w:rsidRPr="00C929B1" w14:paraId="426EFB71" w14:textId="77777777" w:rsidTr="006D7E74">
        <w:tc>
          <w:tcPr>
            <w:tcW w:w="9072" w:type="dxa"/>
          </w:tcPr>
          <w:p w14:paraId="6EE781E4" w14:textId="737C0486" w:rsidR="00177623" w:rsidRPr="00C929B1" w:rsidRDefault="00900468" w:rsidP="000E534F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 xml:space="preserve">By 202X, </w:t>
            </w:r>
            <w:r w:rsidR="00A237D1">
              <w:t>CEN and CENELEC</w:t>
            </w:r>
            <w:r w:rsidRPr="00C929B1">
              <w:t xml:space="preserve"> establish and maintain </w:t>
            </w:r>
            <w:r w:rsidR="00835CF3">
              <w:t xml:space="preserve">a </w:t>
            </w:r>
            <w:r w:rsidRPr="00C929B1">
              <w:t>structured</w:t>
            </w:r>
            <w:r w:rsidR="00A237D1">
              <w:t xml:space="preserve"> and systematic</w:t>
            </w:r>
            <w:r w:rsidRPr="00C929B1">
              <w:t xml:space="preserve"> engagement with</w:t>
            </w:r>
            <w:r w:rsidR="009701A4">
              <w:t xml:space="preserve"> a strategic selection of</w:t>
            </w:r>
            <w:r w:rsidRPr="00C929B1">
              <w:t xml:space="preserve"> </w:t>
            </w:r>
            <w:r w:rsidR="009701A4">
              <w:t>pre</w:t>
            </w:r>
            <w:r w:rsidRPr="00C929B1">
              <w:t>defined target audiences.</w:t>
            </w:r>
          </w:p>
        </w:tc>
      </w:tr>
      <w:tr w:rsidR="00177623" w:rsidRPr="00C929B1" w14:paraId="3FB52565" w14:textId="77777777" w:rsidTr="006D7E74">
        <w:tc>
          <w:tcPr>
            <w:tcW w:w="9072" w:type="dxa"/>
          </w:tcPr>
          <w:p w14:paraId="36B10261" w14:textId="5D3DD391" w:rsidR="00177623" w:rsidRPr="00C929B1" w:rsidRDefault="00900468" w:rsidP="00A520EA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 xml:space="preserve">By 202X, </w:t>
            </w:r>
            <w:r w:rsidR="0060116F">
              <w:t>CEN and CENELEC</w:t>
            </w:r>
            <w:r w:rsidRPr="00C929B1">
              <w:t xml:space="preserve"> </w:t>
            </w:r>
            <w:r w:rsidR="00A237D1">
              <w:t xml:space="preserve">are </w:t>
            </w:r>
            <w:r w:rsidR="009701A4">
              <w:t>recognised</w:t>
            </w:r>
            <w:r w:rsidR="00A237D1">
              <w:t xml:space="preserve"> </w:t>
            </w:r>
            <w:r w:rsidR="009701A4">
              <w:t>for</w:t>
            </w:r>
            <w:r w:rsidRPr="00C929B1">
              <w:t xml:space="preserve"> </w:t>
            </w:r>
            <w:r w:rsidR="00A237D1">
              <w:t>promoting</w:t>
            </w:r>
            <w:r w:rsidR="009701A4">
              <w:t xml:space="preserve"> </w:t>
            </w:r>
            <w:r w:rsidRPr="00C929B1">
              <w:t xml:space="preserve">innovation, </w:t>
            </w:r>
            <w:r w:rsidR="00A237D1">
              <w:t xml:space="preserve">facilitating </w:t>
            </w:r>
            <w:r w:rsidRPr="00C929B1">
              <w:t>market access and</w:t>
            </w:r>
            <w:r w:rsidR="00A237D1">
              <w:t xml:space="preserve"> enabling</w:t>
            </w:r>
            <w:r w:rsidRPr="00C929B1">
              <w:t xml:space="preserve"> international trade.</w:t>
            </w:r>
          </w:p>
        </w:tc>
      </w:tr>
    </w:tbl>
    <w:p w14:paraId="23686B96" w14:textId="77777777" w:rsidR="003A271E" w:rsidRPr="00C929B1" w:rsidRDefault="003A271E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C929B1">
        <w:br w:type="page"/>
      </w:r>
    </w:p>
    <w:p w14:paraId="77F40F70" w14:textId="5EB387C6" w:rsidR="00D70657" w:rsidRPr="00C929B1" w:rsidRDefault="009701A4" w:rsidP="0069109E">
      <w:pPr>
        <w:pStyle w:val="Nadpis3"/>
        <w:numPr>
          <w:ilvl w:val="0"/>
          <w:numId w:val="2"/>
        </w:numPr>
        <w:jc w:val="both"/>
      </w:pPr>
      <w:r>
        <w:t>E</w:t>
      </w:r>
      <w:r w:rsidR="00347864" w:rsidRPr="00C929B1">
        <w:t>ngage</w:t>
      </w:r>
      <w:r w:rsidR="000F192D">
        <w:t xml:space="preserve"> with</w:t>
      </w:r>
      <w:r w:rsidR="003B1A0D" w:rsidRPr="00C929B1">
        <w:t xml:space="preserve"> t</w:t>
      </w:r>
      <w:r w:rsidR="00252AB0" w:rsidRPr="00C929B1">
        <w:t xml:space="preserve">he </w:t>
      </w:r>
      <w:r w:rsidR="008C2210">
        <w:t>future</w:t>
      </w:r>
      <w:r w:rsidR="00252AB0" w:rsidRPr="00C929B1">
        <w:t xml:space="preserve"> generation</w:t>
      </w:r>
      <w:r w:rsidR="008C2210">
        <w:t>s</w:t>
      </w:r>
      <w:r w:rsidR="00252AB0" w:rsidRPr="00C929B1">
        <w:t xml:space="preserve"> of</w:t>
      </w:r>
      <w:r w:rsidR="000F192D">
        <w:t xml:space="preserve"> European</w:t>
      </w:r>
      <w:r w:rsidR="00252AB0" w:rsidRPr="00C929B1">
        <w:t xml:space="preserve"> standard</w:t>
      </w:r>
      <w:r w:rsidR="000F192D">
        <w:t xml:space="preserve">s </w:t>
      </w:r>
      <w:r w:rsidR="003B1A0D" w:rsidRPr="00C929B1">
        <w:t>makers</w:t>
      </w:r>
    </w:p>
    <w:p w14:paraId="6901337F" w14:textId="0B9045D8" w:rsidR="000134B2" w:rsidRDefault="000A1B2A" w:rsidP="00594F20">
      <w:pPr>
        <w:jc w:val="both"/>
      </w:pPr>
      <w:r w:rsidRPr="00C929B1">
        <w:t>CEN and CENELEC standards makers are diverse, inclusive and growing</w:t>
      </w:r>
      <w:r w:rsidR="003B1A0D" w:rsidRPr="00C929B1">
        <w:t>.</w:t>
      </w:r>
      <w:r w:rsidRPr="00C929B1" w:rsidDel="000A1B2A">
        <w:t xml:space="preserve"> </w:t>
      </w:r>
      <w:r w:rsidR="005174BA" w:rsidRPr="00C929B1">
        <w:t>The E</w:t>
      </w:r>
      <w:r w:rsidR="00A237D1">
        <w:t>uropean Standardization System</w:t>
      </w:r>
      <w:r w:rsidR="005174BA" w:rsidRPr="00C929B1">
        <w:t xml:space="preserve"> needs to </w:t>
      </w:r>
      <w:r w:rsidR="00A237D1">
        <w:t xml:space="preserve">continuously </w:t>
      </w:r>
      <w:r w:rsidR="005174BA" w:rsidRPr="00C929B1">
        <w:t xml:space="preserve">evolve to ensure </w:t>
      </w:r>
      <w:r w:rsidR="00DE18B1">
        <w:t xml:space="preserve">it </w:t>
      </w:r>
      <w:r w:rsidR="009701A4">
        <w:t>reflects that</w:t>
      </w:r>
      <w:r w:rsidR="009701A4" w:rsidRPr="00C929B1">
        <w:t xml:space="preserve"> </w:t>
      </w:r>
      <w:r w:rsidR="008C2210">
        <w:t>divers</w:t>
      </w:r>
      <w:r w:rsidR="009701A4">
        <w:t>ity</w:t>
      </w:r>
      <w:r w:rsidR="008C2210">
        <w:t xml:space="preserve"> of stakeholders and people</w:t>
      </w:r>
      <w:r w:rsidR="00A237D1">
        <w:t xml:space="preserve">, </w:t>
      </w:r>
      <w:r w:rsidR="009701A4">
        <w:t>while</w:t>
      </w:r>
      <w:r w:rsidR="00A237D1">
        <w:t xml:space="preserve"> address</w:t>
      </w:r>
      <w:r w:rsidR="009701A4">
        <w:t>ing</w:t>
      </w:r>
      <w:r w:rsidR="00A237D1">
        <w:t xml:space="preserve"> increasingly complex market needs</w:t>
      </w:r>
      <w:r w:rsidR="005174BA" w:rsidRPr="00C929B1">
        <w:t xml:space="preserve">. </w:t>
      </w:r>
      <w:r w:rsidR="006F5B36">
        <w:t>Our</w:t>
      </w:r>
      <w:r w:rsidR="005174BA" w:rsidRPr="00C929B1">
        <w:t xml:space="preserve"> focus </w:t>
      </w:r>
      <w:r w:rsidR="006F5B36">
        <w:t>will</w:t>
      </w:r>
      <w:r w:rsidR="00DE18B1">
        <w:t xml:space="preserve"> be on delivering an </w:t>
      </w:r>
      <w:r w:rsidR="009701A4">
        <w:t xml:space="preserve">accessible, transparent </w:t>
      </w:r>
      <w:r w:rsidR="00DE18B1">
        <w:t>and inclusive system for all</w:t>
      </w:r>
      <w:r w:rsidR="00A237D1">
        <w:t xml:space="preserve"> stakeholders</w:t>
      </w:r>
      <w:r w:rsidR="00DE18B1">
        <w:t>, which takes into consideration</w:t>
      </w:r>
      <w:r w:rsidR="008C2210">
        <w:t xml:space="preserve"> e.g. gender balance and the needs and interests of</w:t>
      </w:r>
      <w:r w:rsidR="005174BA" w:rsidRPr="00C929B1">
        <w:t xml:space="preserve"> </w:t>
      </w:r>
      <w:r w:rsidR="008C2210">
        <w:t>future</w:t>
      </w:r>
      <w:r w:rsidR="005174BA" w:rsidRPr="00C929B1">
        <w:t xml:space="preserve"> generation</w:t>
      </w:r>
      <w:r w:rsidR="008C2210">
        <w:t>s</w:t>
      </w:r>
      <w:r w:rsidR="005174BA" w:rsidRPr="00C929B1">
        <w:t xml:space="preserve">. </w:t>
      </w:r>
      <w:r w:rsidR="009444A7" w:rsidRPr="00C929B1">
        <w:t>In addition, w</w:t>
      </w:r>
      <w:r w:rsidR="003D1244" w:rsidRPr="00C929B1">
        <w:t xml:space="preserve">e need to </w:t>
      </w:r>
      <w:r w:rsidR="009F60CA">
        <w:t>optimise</w:t>
      </w:r>
      <w:r w:rsidR="003D1244" w:rsidRPr="00C929B1">
        <w:t xml:space="preserve"> the</w:t>
      </w:r>
      <w:r w:rsidR="009444A7" w:rsidRPr="00C929B1">
        <w:t xml:space="preserve"> way we operate, </w:t>
      </w:r>
      <w:r w:rsidR="003D1244" w:rsidRPr="00C929B1">
        <w:t xml:space="preserve">by applying an end user’s perspective </w:t>
      </w:r>
      <w:r w:rsidR="008C2210">
        <w:t>to</w:t>
      </w:r>
      <w:r w:rsidR="003D1244" w:rsidRPr="00C929B1">
        <w:t xml:space="preserve"> </w:t>
      </w:r>
      <w:r w:rsidR="009701A4">
        <w:t>everything we do</w:t>
      </w:r>
      <w:r w:rsidR="003D1244" w:rsidRPr="00C929B1">
        <w:t xml:space="preserve">. </w:t>
      </w:r>
      <w:r w:rsidR="000611B3" w:rsidRPr="00C929B1">
        <w:t xml:space="preserve">This </w:t>
      </w:r>
      <w:r w:rsidR="00155691" w:rsidRPr="00C929B1">
        <w:t>includes</w:t>
      </w:r>
      <w:r w:rsidR="000611B3" w:rsidRPr="00C929B1">
        <w:t xml:space="preserve"> improving</w:t>
      </w:r>
      <w:r w:rsidR="000134B2" w:rsidRPr="00C929B1">
        <w:t xml:space="preserve"> the way </w:t>
      </w:r>
      <w:r w:rsidR="00A237D1">
        <w:t>CEN and CENELEC</w:t>
      </w:r>
      <w:r w:rsidR="000134B2" w:rsidRPr="00C929B1">
        <w:t xml:space="preserve"> engage with new </w:t>
      </w:r>
      <w:r w:rsidR="00332FE2" w:rsidRPr="00C929B1">
        <w:t>topics</w:t>
      </w:r>
      <w:r w:rsidR="009701A4">
        <w:t xml:space="preserve"> for standardization</w:t>
      </w:r>
      <w:r w:rsidR="005174BA" w:rsidRPr="00C929B1">
        <w:t>, new</w:t>
      </w:r>
      <w:r w:rsidR="009701A4">
        <w:t xml:space="preserve"> standardization</w:t>
      </w:r>
      <w:r w:rsidR="005174BA" w:rsidRPr="00C929B1">
        <w:t xml:space="preserve"> processes</w:t>
      </w:r>
      <w:r w:rsidR="00332FE2" w:rsidRPr="00C929B1">
        <w:t xml:space="preserve"> </w:t>
      </w:r>
      <w:r w:rsidR="000134B2" w:rsidRPr="00C929B1">
        <w:t>and new generations of standard</w:t>
      </w:r>
      <w:r w:rsidR="009F60CA">
        <w:t>s</w:t>
      </w:r>
      <w:r w:rsidR="009167EF" w:rsidRPr="00C929B1">
        <w:t xml:space="preserve"> </w:t>
      </w:r>
      <w:r w:rsidR="000134B2" w:rsidRPr="00C929B1">
        <w:t>makers</w:t>
      </w:r>
      <w:r w:rsidR="00735A5E" w:rsidRPr="00C929B1">
        <w:t xml:space="preserve">, </w:t>
      </w:r>
      <w:r w:rsidR="0095292D" w:rsidRPr="00C929B1">
        <w:t>in particular at the national level</w:t>
      </w:r>
      <w:r w:rsidR="009444A7" w:rsidRPr="00C929B1">
        <w:t>.</w:t>
      </w:r>
    </w:p>
    <w:p w14:paraId="15547302" w14:textId="005B0E9F" w:rsidR="00A237D1" w:rsidRPr="00C929B1" w:rsidRDefault="00A237D1" w:rsidP="00594F20">
      <w:pPr>
        <w:jc w:val="both"/>
      </w:pPr>
      <w:r>
        <w:t>The strategic priorities and objectives which will support this goal are</w:t>
      </w:r>
      <w:r w:rsidR="009701A4">
        <w:t xml:space="preserve"> the following</w:t>
      </w:r>
      <w:r>
        <w:t>:</w:t>
      </w:r>
    </w:p>
    <w:p w14:paraId="63CCDA62" w14:textId="77777777" w:rsidR="002E0A09" w:rsidRPr="00C929B1" w:rsidRDefault="000134B2" w:rsidP="0069109E">
      <w:pPr>
        <w:pStyle w:val="Odstavecseseznamem"/>
        <w:numPr>
          <w:ilvl w:val="0"/>
          <w:numId w:val="8"/>
        </w:numPr>
        <w:jc w:val="both"/>
      </w:pPr>
      <w:r w:rsidRPr="00C929B1">
        <w:rPr>
          <w:b/>
        </w:rPr>
        <w:t>Moderni</w:t>
      </w:r>
      <w:r w:rsidR="009F60CA">
        <w:rPr>
          <w:b/>
        </w:rPr>
        <w:t>s</w:t>
      </w:r>
      <w:r w:rsidRPr="00C929B1">
        <w:rPr>
          <w:b/>
        </w:rPr>
        <w:t xml:space="preserve">e our governance and production structures </w:t>
      </w:r>
    </w:p>
    <w:p w14:paraId="44E2C674" w14:textId="4D27FF06" w:rsidR="00387126" w:rsidRDefault="001E0FB4" w:rsidP="007B377D">
      <w:pPr>
        <w:jc w:val="both"/>
        <w:rPr>
          <w:bCs/>
        </w:rPr>
      </w:pPr>
      <w:r w:rsidRPr="00C929B1">
        <w:rPr>
          <w:bCs/>
        </w:rPr>
        <w:t>In order t</w:t>
      </w:r>
      <w:r w:rsidR="000134B2" w:rsidRPr="00C929B1">
        <w:rPr>
          <w:bCs/>
        </w:rPr>
        <w:t xml:space="preserve">o anticipate and respond to </w:t>
      </w:r>
      <w:r w:rsidR="00207223">
        <w:rPr>
          <w:bCs/>
        </w:rPr>
        <w:t>increased</w:t>
      </w:r>
      <w:r w:rsidR="000134B2" w:rsidRPr="00C929B1">
        <w:rPr>
          <w:bCs/>
        </w:rPr>
        <w:t xml:space="preserve"> stakeholder expectations and </w:t>
      </w:r>
      <w:r w:rsidR="00387126">
        <w:rPr>
          <w:bCs/>
        </w:rPr>
        <w:t xml:space="preserve">changing </w:t>
      </w:r>
      <w:r w:rsidR="000134B2" w:rsidRPr="00C929B1">
        <w:rPr>
          <w:bCs/>
        </w:rPr>
        <w:t>market needs</w:t>
      </w:r>
      <w:r w:rsidR="00155691" w:rsidRPr="00C929B1">
        <w:rPr>
          <w:bCs/>
        </w:rPr>
        <w:t>,</w:t>
      </w:r>
      <w:r w:rsidR="000134B2" w:rsidRPr="00C929B1">
        <w:rPr>
          <w:bCs/>
        </w:rPr>
        <w:t xml:space="preserve"> and to ensure</w:t>
      </w:r>
      <w:r w:rsidR="00155691" w:rsidRPr="00C929B1">
        <w:rPr>
          <w:bCs/>
        </w:rPr>
        <w:t xml:space="preserve"> an</w:t>
      </w:r>
      <w:r w:rsidR="000134B2" w:rsidRPr="00C929B1">
        <w:rPr>
          <w:bCs/>
        </w:rPr>
        <w:t xml:space="preserve"> effective engagement </w:t>
      </w:r>
      <w:r w:rsidR="00735A5E" w:rsidRPr="00C929B1">
        <w:rPr>
          <w:bCs/>
        </w:rPr>
        <w:t>with</w:t>
      </w:r>
      <w:r w:rsidR="000134B2" w:rsidRPr="00C929B1">
        <w:rPr>
          <w:bCs/>
        </w:rPr>
        <w:t xml:space="preserve"> th</w:t>
      </w:r>
      <w:r w:rsidRPr="00C929B1">
        <w:rPr>
          <w:bCs/>
        </w:rPr>
        <w:t>e standard</w:t>
      </w:r>
      <w:r w:rsidR="009F60CA">
        <w:rPr>
          <w:bCs/>
        </w:rPr>
        <w:t>s</w:t>
      </w:r>
      <w:r w:rsidR="006F5B36">
        <w:rPr>
          <w:bCs/>
        </w:rPr>
        <w:t>-</w:t>
      </w:r>
      <w:r w:rsidRPr="00C929B1">
        <w:rPr>
          <w:bCs/>
        </w:rPr>
        <w:t xml:space="preserve">makers of the future, </w:t>
      </w:r>
      <w:r w:rsidR="00387126">
        <w:rPr>
          <w:bCs/>
        </w:rPr>
        <w:t>CEN and CENELEC</w:t>
      </w:r>
      <w:r w:rsidRPr="00C929B1">
        <w:rPr>
          <w:bCs/>
        </w:rPr>
        <w:t xml:space="preserve"> need to rethink </w:t>
      </w:r>
      <w:r w:rsidR="006F5B36">
        <w:rPr>
          <w:bCs/>
        </w:rPr>
        <w:t>their</w:t>
      </w:r>
      <w:r w:rsidRPr="00C929B1">
        <w:rPr>
          <w:bCs/>
        </w:rPr>
        <w:t xml:space="preserve"> approach to standards development.</w:t>
      </w:r>
    </w:p>
    <w:p w14:paraId="4AE43CB6" w14:textId="1AF8612D" w:rsidR="00387126" w:rsidRDefault="00207223" w:rsidP="007B377D">
      <w:pPr>
        <w:jc w:val="both"/>
      </w:pPr>
      <w:r>
        <w:rPr>
          <w:bCs/>
        </w:rPr>
        <w:t>Beyond</w:t>
      </w:r>
      <w:r w:rsidR="00D03A74" w:rsidRPr="00C929B1">
        <w:rPr>
          <w:bCs/>
        </w:rPr>
        <w:t xml:space="preserve"> </w:t>
      </w:r>
      <w:r w:rsidR="006F5B36">
        <w:rPr>
          <w:bCs/>
        </w:rPr>
        <w:t xml:space="preserve">the </w:t>
      </w:r>
      <w:r w:rsidR="00D03A74" w:rsidRPr="00C929B1">
        <w:rPr>
          <w:bCs/>
        </w:rPr>
        <w:t>digital</w:t>
      </w:r>
      <w:r>
        <w:rPr>
          <w:bCs/>
        </w:rPr>
        <w:t xml:space="preserve"> solutions</w:t>
      </w:r>
      <w:r w:rsidR="006F5B36">
        <w:rPr>
          <w:bCs/>
        </w:rPr>
        <w:t xml:space="preserve"> discussed above (2.2)</w:t>
      </w:r>
      <w:r w:rsidR="001E0FB4" w:rsidRPr="00C929B1">
        <w:rPr>
          <w:bCs/>
        </w:rPr>
        <w:t xml:space="preserve">, this </w:t>
      </w:r>
      <w:r w:rsidR="008C2210">
        <w:rPr>
          <w:bCs/>
        </w:rPr>
        <w:t>will require</w:t>
      </w:r>
      <w:r w:rsidR="006F5B36">
        <w:rPr>
          <w:bCs/>
        </w:rPr>
        <w:t xml:space="preserve"> developing new ways of addressing </w:t>
      </w:r>
      <w:r w:rsidR="001E0FB4" w:rsidRPr="00C929B1">
        <w:rPr>
          <w:bCs/>
        </w:rPr>
        <w:t>horizontal issues</w:t>
      </w:r>
      <w:r w:rsidR="00E17F26">
        <w:rPr>
          <w:bCs/>
        </w:rPr>
        <w:t>, notably</w:t>
      </w:r>
      <w:r w:rsidR="001E0FB4" w:rsidRPr="00C929B1">
        <w:t xml:space="preserve"> in a</w:t>
      </w:r>
      <w:r w:rsidR="00D03A74" w:rsidRPr="00C929B1">
        <w:t xml:space="preserve"> project-driven, </w:t>
      </w:r>
      <w:r w:rsidR="0060116F">
        <w:t>multi-disciplinary manner</w:t>
      </w:r>
      <w:r w:rsidR="001407BD" w:rsidRPr="00C929B1">
        <w:t xml:space="preserve">. </w:t>
      </w:r>
      <w:r w:rsidR="009F60CA">
        <w:t xml:space="preserve">In addition, </w:t>
      </w:r>
      <w:r w:rsidR="008C2210">
        <w:t>CEN and CENELEC</w:t>
      </w:r>
      <w:r w:rsidR="006D7E74">
        <w:t xml:space="preserve"> should provide</w:t>
      </w:r>
      <w:r w:rsidR="001407BD" w:rsidRPr="00C929B1">
        <w:t xml:space="preserve"> an efficient</w:t>
      </w:r>
      <w:r w:rsidR="00D03A74" w:rsidRPr="00C929B1">
        <w:t>, open</w:t>
      </w:r>
      <w:r w:rsidR="001407BD" w:rsidRPr="00C929B1">
        <w:t xml:space="preserve"> and transparent </w:t>
      </w:r>
      <w:r w:rsidR="008C2210">
        <w:t xml:space="preserve">governance and production </w:t>
      </w:r>
      <w:r w:rsidR="001407BD" w:rsidRPr="00C929B1">
        <w:t xml:space="preserve">environment to </w:t>
      </w:r>
      <w:r w:rsidR="006D7E74">
        <w:t xml:space="preserve">be able to </w:t>
      </w:r>
      <w:r w:rsidR="001407BD" w:rsidRPr="00C929B1">
        <w:t>engage with a diverse range of (new) stakeholders</w:t>
      </w:r>
      <w:r w:rsidR="006D7E74">
        <w:t>.</w:t>
      </w:r>
    </w:p>
    <w:p w14:paraId="30F9F386" w14:textId="52545273" w:rsidR="007605EC" w:rsidRPr="00C929B1" w:rsidRDefault="006D7E74" w:rsidP="007B377D">
      <w:pPr>
        <w:jc w:val="both"/>
      </w:pPr>
      <w:r>
        <w:t>This will require</w:t>
      </w:r>
      <w:r w:rsidR="001407BD" w:rsidRPr="00C929B1">
        <w:t xml:space="preserve"> </w:t>
      </w:r>
      <w:r w:rsidR="009F60CA">
        <w:t>simplifying</w:t>
      </w:r>
      <w:r w:rsidR="00EC4582" w:rsidRPr="00C929B1">
        <w:t xml:space="preserve"> and streamlining our governance structures, in compliance with </w:t>
      </w:r>
      <w:r w:rsidR="00207223">
        <w:t xml:space="preserve">the </w:t>
      </w:r>
      <w:r w:rsidR="00EC4582" w:rsidRPr="00C929B1">
        <w:t>principle</w:t>
      </w:r>
      <w:r w:rsidR="001407BD" w:rsidRPr="00C929B1">
        <w:t>s of good corporate governance.</w:t>
      </w:r>
      <w:r w:rsidR="00207223">
        <w:t xml:space="preserve"> </w:t>
      </w:r>
      <w:r w:rsidR="006F5B36">
        <w:t>We will introduce</w:t>
      </w:r>
      <w:r w:rsidR="001407BD" w:rsidRPr="00C929B1">
        <w:t xml:space="preserve"> new tools and modern business practices </w:t>
      </w:r>
      <w:r w:rsidR="006F5B36">
        <w:t>to</w:t>
      </w:r>
      <w:r w:rsidR="00207223" w:rsidRPr="00C929B1">
        <w:t xml:space="preserve"> </w:t>
      </w:r>
      <w:r w:rsidR="001407BD" w:rsidRPr="00C929B1">
        <w:t>help us better organise our work,</w:t>
      </w:r>
      <w:r w:rsidR="009444A7" w:rsidRPr="00C929B1">
        <w:t xml:space="preserve"> </w:t>
      </w:r>
      <w:r w:rsidR="006F5B36">
        <w:t>and to allow</w:t>
      </w:r>
      <w:r w:rsidR="00387126">
        <w:t xml:space="preserve"> stakeholders to engage </w:t>
      </w:r>
      <w:r w:rsidR="006F5B36">
        <w:t xml:space="preserve">with standardization </w:t>
      </w:r>
      <w:r w:rsidR="00387126">
        <w:t xml:space="preserve">in a more dynamic </w:t>
      </w:r>
      <w:r w:rsidR="006F5B36">
        <w:t>manner</w:t>
      </w:r>
      <w:r w:rsidR="00207223">
        <w:t>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B377D" w:rsidRPr="00C929B1" w14:paraId="23D57832" w14:textId="77777777" w:rsidTr="006D7E74">
        <w:tc>
          <w:tcPr>
            <w:tcW w:w="9072" w:type="dxa"/>
            <w:shd w:val="clear" w:color="auto" w:fill="DBE5F1" w:themeFill="accent1" w:themeFillTint="33"/>
          </w:tcPr>
          <w:p w14:paraId="00003A9E" w14:textId="77777777" w:rsidR="007B377D" w:rsidRPr="00C929B1" w:rsidRDefault="007B377D" w:rsidP="006D7E74">
            <w:pPr>
              <w:jc w:val="both"/>
            </w:pPr>
            <w:r w:rsidRPr="00C929B1">
              <w:t>Objectives</w:t>
            </w:r>
          </w:p>
        </w:tc>
      </w:tr>
      <w:tr w:rsidR="0069109E" w:rsidRPr="00C929B1" w14:paraId="38E28AC6" w14:textId="77777777" w:rsidTr="006D7E74">
        <w:tc>
          <w:tcPr>
            <w:tcW w:w="9072" w:type="dxa"/>
          </w:tcPr>
          <w:p w14:paraId="4F70E3DE" w14:textId="37D2A09C" w:rsidR="0069109E" w:rsidRPr="00C929B1" w:rsidRDefault="000E534F" w:rsidP="000E534F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 xml:space="preserve">By 202X, </w:t>
            </w:r>
            <w:r w:rsidR="00387126">
              <w:t>CEN and CENELEC</w:t>
            </w:r>
            <w:r w:rsidRPr="00C929B1">
              <w:t xml:space="preserve"> e</w:t>
            </w:r>
            <w:r w:rsidR="0069109E" w:rsidRPr="00C929B1">
              <w:t>stablish lean, transparent and efficient governance and decision-making structures.</w:t>
            </w:r>
          </w:p>
        </w:tc>
      </w:tr>
      <w:tr w:rsidR="0069109E" w:rsidRPr="00C929B1" w14:paraId="28070EA8" w14:textId="77777777" w:rsidTr="006D7E74">
        <w:tc>
          <w:tcPr>
            <w:tcW w:w="9072" w:type="dxa"/>
          </w:tcPr>
          <w:p w14:paraId="65F2A093" w14:textId="35C197F6" w:rsidR="0069109E" w:rsidRPr="00C929B1" w:rsidRDefault="001407BD" w:rsidP="001407BD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 xml:space="preserve">By 202X, </w:t>
            </w:r>
            <w:r w:rsidR="00A44D34">
              <w:t>CEN and CENELEC</w:t>
            </w:r>
            <w:r w:rsidRPr="00C929B1">
              <w:t xml:space="preserve"> identify and remove barriers to participation for the next generation of standards makers</w:t>
            </w:r>
            <w:r w:rsidR="00C454D6" w:rsidRPr="00C929B1">
              <w:t>.</w:t>
            </w:r>
          </w:p>
        </w:tc>
      </w:tr>
      <w:tr w:rsidR="0069109E" w:rsidRPr="00C929B1" w14:paraId="2DBD56FC" w14:textId="77777777" w:rsidTr="006D7E74">
        <w:tc>
          <w:tcPr>
            <w:tcW w:w="9072" w:type="dxa"/>
          </w:tcPr>
          <w:p w14:paraId="31CA020C" w14:textId="0B769000" w:rsidR="0069109E" w:rsidRPr="00C929B1" w:rsidRDefault="001407BD" w:rsidP="001407BD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 xml:space="preserve">By 202X, </w:t>
            </w:r>
            <w:r w:rsidR="00387126">
              <w:t>CEN and CENELEC</w:t>
            </w:r>
            <w:r w:rsidRPr="00C929B1">
              <w:t xml:space="preserve"> introduce modern business practices and I</w:t>
            </w:r>
            <w:r w:rsidR="00D03A74" w:rsidRPr="00C929B1">
              <w:t>C</w:t>
            </w:r>
            <w:r w:rsidR="00E519F7">
              <w:t xml:space="preserve">T </w:t>
            </w:r>
            <w:r w:rsidRPr="00C929B1">
              <w:t>tools</w:t>
            </w:r>
            <w:r w:rsidR="00C454D6" w:rsidRPr="00C929B1">
              <w:t>.</w:t>
            </w:r>
          </w:p>
        </w:tc>
      </w:tr>
      <w:tr w:rsidR="0069109E" w:rsidRPr="00C929B1" w14:paraId="58C2DB5D" w14:textId="77777777" w:rsidTr="006D7E74">
        <w:tc>
          <w:tcPr>
            <w:tcW w:w="9072" w:type="dxa"/>
          </w:tcPr>
          <w:p w14:paraId="53BEC61B" w14:textId="5E7EFFCD" w:rsidR="0069109E" w:rsidRPr="00C929B1" w:rsidRDefault="001407BD" w:rsidP="00387126">
            <w:pPr>
              <w:pStyle w:val="Odstavecseseznamem"/>
              <w:numPr>
                <w:ilvl w:val="2"/>
                <w:numId w:val="2"/>
              </w:numPr>
              <w:ind w:left="0" w:firstLine="0"/>
              <w:jc w:val="both"/>
            </w:pPr>
            <w:r w:rsidRPr="00C929B1">
              <w:t xml:space="preserve">By 202X, </w:t>
            </w:r>
            <w:r w:rsidR="00387126">
              <w:t>CEN and CENELEC</w:t>
            </w:r>
            <w:r w:rsidR="00387126" w:rsidRPr="00C929B1">
              <w:t xml:space="preserve"> </w:t>
            </w:r>
            <w:r w:rsidRPr="00C929B1">
              <w:t>introduce</w:t>
            </w:r>
            <w:r w:rsidR="00C454D6" w:rsidRPr="00C929B1">
              <w:t xml:space="preserve"> cross-sectoral, project-driven</w:t>
            </w:r>
            <w:r w:rsidR="00E519F7">
              <w:t xml:space="preserve"> approaches to standards </w:t>
            </w:r>
            <w:r w:rsidRPr="00C929B1">
              <w:t>production.</w:t>
            </w:r>
          </w:p>
        </w:tc>
      </w:tr>
    </w:tbl>
    <w:p w14:paraId="46666BA8" w14:textId="77777777" w:rsidR="00EC4582" w:rsidRPr="00C929B1" w:rsidRDefault="00EC4582" w:rsidP="00594F20">
      <w:pPr>
        <w:pStyle w:val="Odstavecseseznamem"/>
        <w:jc w:val="both"/>
      </w:pPr>
    </w:p>
    <w:p w14:paraId="623CE2F2" w14:textId="2BAB1506" w:rsidR="002E0A09" w:rsidRPr="00C929B1" w:rsidRDefault="007605EC" w:rsidP="0069109E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C929B1">
        <w:rPr>
          <w:b/>
        </w:rPr>
        <w:t xml:space="preserve">Develop a strategic </w:t>
      </w:r>
      <w:r w:rsidR="00E519F7">
        <w:rPr>
          <w:b/>
        </w:rPr>
        <w:t>approach to engag</w:t>
      </w:r>
      <w:r w:rsidR="00387126">
        <w:rPr>
          <w:b/>
        </w:rPr>
        <w:t>e</w:t>
      </w:r>
      <w:r w:rsidR="00CE38F1" w:rsidRPr="00C929B1">
        <w:rPr>
          <w:b/>
        </w:rPr>
        <w:t xml:space="preserve"> with other</w:t>
      </w:r>
      <w:r w:rsidRPr="00C929B1">
        <w:rPr>
          <w:b/>
        </w:rPr>
        <w:t xml:space="preserve"> standard</w:t>
      </w:r>
      <w:r w:rsidR="00E519F7">
        <w:rPr>
          <w:b/>
        </w:rPr>
        <w:t xml:space="preserve">s </w:t>
      </w:r>
      <w:r w:rsidR="000F269D" w:rsidRPr="00C929B1">
        <w:rPr>
          <w:b/>
        </w:rPr>
        <w:t>makers</w:t>
      </w:r>
    </w:p>
    <w:p w14:paraId="54DB52BA" w14:textId="37E30238" w:rsidR="00387126" w:rsidRDefault="006D7E74" w:rsidP="007B377D">
      <w:pPr>
        <w:jc w:val="both"/>
      </w:pPr>
      <w:r>
        <w:t>To increase</w:t>
      </w:r>
      <w:r w:rsidRPr="00C929B1">
        <w:t xml:space="preserve"> </w:t>
      </w:r>
      <w:r w:rsidR="00387126">
        <w:t>CEN and CENELEC’s</w:t>
      </w:r>
      <w:r w:rsidRPr="00C929B1">
        <w:t xml:space="preserve"> international influence and credibility, in particular when</w:t>
      </w:r>
      <w:r>
        <w:t xml:space="preserve"> it comes to exploring new work </w:t>
      </w:r>
      <w:r w:rsidRPr="00C929B1">
        <w:t>streams and emerging markets</w:t>
      </w:r>
      <w:r>
        <w:t xml:space="preserve">, </w:t>
      </w:r>
      <w:r w:rsidR="00387126">
        <w:t>we</w:t>
      </w:r>
      <w:r w:rsidR="00260438">
        <w:t xml:space="preserve"> should</w:t>
      </w:r>
      <w:r w:rsidRPr="00C929B1">
        <w:t xml:space="preserve"> </w:t>
      </w:r>
      <w:r>
        <w:t>explore</w:t>
      </w:r>
      <w:r w:rsidR="00092EB8" w:rsidRPr="00C929B1">
        <w:t xml:space="preserve"> new types of</w:t>
      </w:r>
      <w:r w:rsidR="007605EC" w:rsidRPr="00C929B1">
        <w:t xml:space="preserve"> partnerships or flexible collaboration vehicles with standardization consortia</w:t>
      </w:r>
      <w:r w:rsidR="00092EB8" w:rsidRPr="00C929B1">
        <w:t>, other Standard Development Organisations</w:t>
      </w:r>
      <w:r w:rsidR="007605EC" w:rsidRPr="00C929B1">
        <w:t xml:space="preserve"> (e.g. IEEE, ASTM) and research communities.</w:t>
      </w:r>
      <w:r w:rsidR="00134155" w:rsidRPr="00C929B1">
        <w:t xml:space="preserve"> </w:t>
      </w:r>
      <w:r w:rsidR="00207223">
        <w:t xml:space="preserve">This will </w:t>
      </w:r>
      <w:r w:rsidR="00207223" w:rsidRPr="00C929B1">
        <w:t>allow</w:t>
      </w:r>
      <w:r w:rsidR="00207223">
        <w:t xml:space="preserve"> CEN and CENELEC</w:t>
      </w:r>
      <w:r w:rsidR="00207223" w:rsidRPr="00C929B1">
        <w:t xml:space="preserve"> to be more open</w:t>
      </w:r>
      <w:r w:rsidR="00C622DA">
        <w:t xml:space="preserve"> </w:t>
      </w:r>
      <w:r w:rsidR="00207223" w:rsidRPr="00C929B1">
        <w:t xml:space="preserve">towards the outside world and </w:t>
      </w:r>
      <w:r w:rsidR="00C622DA">
        <w:t xml:space="preserve">be more responsive to </w:t>
      </w:r>
      <w:r w:rsidR="00207223" w:rsidRPr="00C929B1">
        <w:t>changing market needs.</w:t>
      </w:r>
    </w:p>
    <w:p w14:paraId="7D018A39" w14:textId="4ADF53F3" w:rsidR="002E0A09" w:rsidRPr="00C929B1" w:rsidRDefault="000A1B2A" w:rsidP="007B377D">
      <w:pPr>
        <w:jc w:val="both"/>
      </w:pPr>
      <w:r w:rsidRPr="00C929B1">
        <w:t>CEN and CENELEC</w:t>
      </w:r>
      <w:r w:rsidR="00134155" w:rsidRPr="00C929B1">
        <w:t xml:space="preserve"> should support and promote the</w:t>
      </w:r>
      <w:r w:rsidR="00387126">
        <w:t xml:space="preserve"> role of the National Standardization Bodies and National Committees</w:t>
      </w:r>
      <w:r w:rsidR="00F57CA7">
        <w:t xml:space="preserve"> </w:t>
      </w:r>
      <w:r w:rsidR="00134155" w:rsidRPr="00C929B1">
        <w:t>as the most appropriate and effective channel for stakeholders to get involved in European standards development.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B377D" w:rsidRPr="00C929B1" w14:paraId="6567E370" w14:textId="77777777" w:rsidTr="006D7E74">
        <w:tc>
          <w:tcPr>
            <w:tcW w:w="9072" w:type="dxa"/>
            <w:shd w:val="clear" w:color="auto" w:fill="DBE5F1" w:themeFill="accent1" w:themeFillTint="33"/>
          </w:tcPr>
          <w:p w14:paraId="3F20B90C" w14:textId="77777777" w:rsidR="007B377D" w:rsidRPr="00C929B1" w:rsidRDefault="007B377D" w:rsidP="00BA4AEF">
            <w:pPr>
              <w:pageBreakBefore/>
              <w:jc w:val="both"/>
            </w:pPr>
            <w:r w:rsidRPr="00C929B1">
              <w:t>Objectives</w:t>
            </w:r>
          </w:p>
        </w:tc>
      </w:tr>
      <w:tr w:rsidR="0069109E" w:rsidRPr="00C929B1" w14:paraId="0D82CEE5" w14:textId="77777777" w:rsidTr="006D7E74">
        <w:tc>
          <w:tcPr>
            <w:tcW w:w="9072" w:type="dxa"/>
          </w:tcPr>
          <w:p w14:paraId="5D8D36F9" w14:textId="74A47C92" w:rsidR="0069109E" w:rsidRPr="00C929B1" w:rsidRDefault="000E534F" w:rsidP="0069109E">
            <w:pPr>
              <w:pStyle w:val="Odstavecseseznamem"/>
              <w:numPr>
                <w:ilvl w:val="2"/>
                <w:numId w:val="13"/>
              </w:numPr>
              <w:ind w:left="0" w:firstLine="0"/>
              <w:jc w:val="both"/>
            </w:pPr>
            <w:r w:rsidRPr="00C929B1">
              <w:t xml:space="preserve">By 202X, </w:t>
            </w:r>
            <w:r w:rsidR="00387126">
              <w:t>CEN and CENELEC</w:t>
            </w:r>
            <w:r w:rsidRPr="00C929B1">
              <w:t xml:space="preserve"> d</w:t>
            </w:r>
            <w:r w:rsidR="0069109E" w:rsidRPr="00C929B1">
              <w:t>evelop and implement a Strategic Engagement St</w:t>
            </w:r>
            <w:r w:rsidR="00E519F7">
              <w:t xml:space="preserve">rategy vis-à-vis other standards </w:t>
            </w:r>
            <w:r w:rsidR="0069109E" w:rsidRPr="00C929B1">
              <w:t>makers.</w:t>
            </w:r>
          </w:p>
        </w:tc>
      </w:tr>
      <w:tr w:rsidR="0069109E" w:rsidRPr="00C929B1" w14:paraId="5D7D5116" w14:textId="77777777" w:rsidTr="006D7E74">
        <w:tc>
          <w:tcPr>
            <w:tcW w:w="9072" w:type="dxa"/>
          </w:tcPr>
          <w:p w14:paraId="0F161702" w14:textId="3B13430F" w:rsidR="0069109E" w:rsidRPr="00C929B1" w:rsidRDefault="000E534F" w:rsidP="00A520EA">
            <w:pPr>
              <w:pStyle w:val="Odstavecseseznamem"/>
              <w:numPr>
                <w:ilvl w:val="2"/>
                <w:numId w:val="13"/>
              </w:numPr>
              <w:ind w:left="0" w:firstLine="0"/>
              <w:jc w:val="both"/>
            </w:pPr>
            <w:r w:rsidRPr="00C929B1">
              <w:t xml:space="preserve">By 202X, </w:t>
            </w:r>
            <w:r w:rsidR="00387126">
              <w:t>CEN and CENELEC</w:t>
            </w:r>
            <w:r w:rsidRPr="00C929B1">
              <w:t xml:space="preserve"> t</w:t>
            </w:r>
            <w:r w:rsidR="006C3476" w:rsidRPr="00C929B1">
              <w:t>ake</w:t>
            </w:r>
            <w:r w:rsidR="0069109E" w:rsidRPr="00C929B1">
              <w:t xml:space="preserve"> a proactive</w:t>
            </w:r>
            <w:r w:rsidR="00E519F7">
              <w:t xml:space="preserve"> and</w:t>
            </w:r>
            <w:r w:rsidR="0069109E" w:rsidRPr="00C929B1">
              <w:t xml:space="preserve"> system</w:t>
            </w:r>
            <w:r w:rsidR="00E519F7">
              <w:t>at</w:t>
            </w:r>
            <w:r w:rsidR="0069109E" w:rsidRPr="00C929B1">
              <w:t xml:space="preserve">ic approach </w:t>
            </w:r>
            <w:r w:rsidR="006C3476" w:rsidRPr="00C929B1">
              <w:t>to</w:t>
            </w:r>
            <w:r w:rsidR="0069109E" w:rsidRPr="00C929B1">
              <w:t xml:space="preserve"> ‘scouting’ oppo</w:t>
            </w:r>
            <w:r w:rsidR="00E519F7">
              <w:t xml:space="preserve">rtunities and emerging new work </w:t>
            </w:r>
            <w:r w:rsidR="0069109E" w:rsidRPr="00C929B1">
              <w:t>in standardization.</w:t>
            </w:r>
          </w:p>
        </w:tc>
      </w:tr>
      <w:tr w:rsidR="0069109E" w:rsidRPr="00C929B1" w14:paraId="3240B577" w14:textId="77777777" w:rsidTr="006D7E74">
        <w:tc>
          <w:tcPr>
            <w:tcW w:w="9072" w:type="dxa"/>
          </w:tcPr>
          <w:p w14:paraId="2B9C9D06" w14:textId="0E484548" w:rsidR="0069109E" w:rsidRPr="00C929B1" w:rsidRDefault="000E534F" w:rsidP="006C3476">
            <w:pPr>
              <w:pStyle w:val="Odstavecseseznamem"/>
              <w:numPr>
                <w:ilvl w:val="2"/>
                <w:numId w:val="13"/>
              </w:numPr>
              <w:ind w:left="0" w:firstLine="0"/>
              <w:jc w:val="both"/>
            </w:pPr>
            <w:r w:rsidRPr="00C929B1">
              <w:t xml:space="preserve">By 202X, </w:t>
            </w:r>
            <w:r w:rsidR="00F31E87">
              <w:t>CEN and CENELEC</w:t>
            </w:r>
            <w:r w:rsidRPr="00C929B1">
              <w:t xml:space="preserve"> </w:t>
            </w:r>
            <w:r w:rsidR="0069109E" w:rsidRPr="00C929B1">
              <w:t>support t</w:t>
            </w:r>
            <w:r w:rsidR="00387126">
              <w:t>heir</w:t>
            </w:r>
            <w:r w:rsidR="0069109E" w:rsidRPr="00C929B1">
              <w:t xml:space="preserve"> </w:t>
            </w:r>
            <w:r w:rsidR="00F21705">
              <w:t>Members</w:t>
            </w:r>
            <w:r w:rsidR="0069109E" w:rsidRPr="00C929B1">
              <w:t xml:space="preserve"> </w:t>
            </w:r>
            <w:r w:rsidR="006C3476" w:rsidRPr="00C929B1">
              <w:t xml:space="preserve">to engage effectively </w:t>
            </w:r>
            <w:r w:rsidR="0069109E" w:rsidRPr="00C929B1">
              <w:t>with national stakeholders</w:t>
            </w:r>
            <w:r w:rsidR="00C454D6" w:rsidRPr="00C929B1">
              <w:t>.</w:t>
            </w:r>
          </w:p>
        </w:tc>
      </w:tr>
    </w:tbl>
    <w:p w14:paraId="777E583D" w14:textId="77777777" w:rsidR="007B377D" w:rsidRPr="00C929B1" w:rsidRDefault="007B377D" w:rsidP="007B377D">
      <w:pPr>
        <w:jc w:val="both"/>
      </w:pPr>
    </w:p>
    <w:p w14:paraId="450C1D56" w14:textId="77777777" w:rsidR="002E0A09" w:rsidRPr="00C929B1" w:rsidRDefault="008F42D7" w:rsidP="0069109E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C929B1">
        <w:rPr>
          <w:b/>
        </w:rPr>
        <w:t xml:space="preserve">Strengthen </w:t>
      </w:r>
      <w:r w:rsidR="002E0A09" w:rsidRPr="00C929B1">
        <w:rPr>
          <w:b/>
        </w:rPr>
        <w:t>g</w:t>
      </w:r>
      <w:r w:rsidR="001A184B" w:rsidRPr="00C929B1">
        <w:rPr>
          <w:b/>
        </w:rPr>
        <w:t>lobal outreach and influence</w:t>
      </w:r>
    </w:p>
    <w:p w14:paraId="7CCE4BC6" w14:textId="32E8E75F" w:rsidR="001A184B" w:rsidRPr="00C929B1" w:rsidRDefault="001A184B" w:rsidP="0023255D">
      <w:pPr>
        <w:jc w:val="both"/>
      </w:pPr>
      <w:r w:rsidRPr="00C929B1">
        <w:t>CEN and CENELE</w:t>
      </w:r>
      <w:r w:rsidR="00E9330B" w:rsidRPr="00C929B1">
        <w:t>C</w:t>
      </w:r>
      <w:r w:rsidRPr="00C929B1">
        <w:t xml:space="preserve"> need to continue to strengthen and improve </w:t>
      </w:r>
      <w:r w:rsidR="00C454D6" w:rsidRPr="00C929B1">
        <w:t xml:space="preserve">their </w:t>
      </w:r>
      <w:r w:rsidRPr="00C929B1">
        <w:t xml:space="preserve">outreach and influence at the international level. The unique nature and added value of the ‘international first’ </w:t>
      </w:r>
      <w:r w:rsidR="0031297E" w:rsidRPr="00C929B1">
        <w:t xml:space="preserve">standardization </w:t>
      </w:r>
      <w:r w:rsidRPr="00C929B1">
        <w:t xml:space="preserve">principle </w:t>
      </w:r>
      <w:r w:rsidR="00387126">
        <w:t>which</w:t>
      </w:r>
      <w:r w:rsidR="00387126" w:rsidRPr="00C929B1">
        <w:t xml:space="preserve"> </w:t>
      </w:r>
      <w:r w:rsidRPr="00C929B1">
        <w:t>CEN and CENELEC</w:t>
      </w:r>
      <w:r w:rsidR="00387126">
        <w:t xml:space="preserve"> apply,</w:t>
      </w:r>
      <w:r w:rsidRPr="00C929B1">
        <w:t xml:space="preserve"> ensures the </w:t>
      </w:r>
      <w:r w:rsidR="003A27FC">
        <w:t xml:space="preserve">Europe-wide </w:t>
      </w:r>
      <w:r w:rsidRPr="00C929B1">
        <w:t xml:space="preserve">adoption of </w:t>
      </w:r>
      <w:r w:rsidR="002E0A09" w:rsidRPr="00C929B1">
        <w:t>i</w:t>
      </w:r>
      <w:r w:rsidRPr="00C929B1">
        <w:t>nternational standards</w:t>
      </w:r>
      <w:r w:rsidR="00260438">
        <w:t>,</w:t>
      </w:r>
      <w:r w:rsidRPr="00C929B1">
        <w:t xml:space="preserve"> developed by ISO and IEC</w:t>
      </w:r>
      <w:r w:rsidR="00387126">
        <w:t xml:space="preserve"> in addition to European standards, developed specifically to meet identified </w:t>
      </w:r>
      <w:r w:rsidR="00387126" w:rsidRPr="00C929B1">
        <w:t>European need</w:t>
      </w:r>
      <w:r w:rsidR="00387126">
        <w:t>s.</w:t>
      </w:r>
      <w:r w:rsidRPr="00C929B1">
        <w:t xml:space="preserve"> Strengthe</w:t>
      </w:r>
      <w:r w:rsidR="008F4C16">
        <w:t xml:space="preserve">ning our </w:t>
      </w:r>
      <w:r w:rsidRPr="00C929B1">
        <w:t>European engagement and leadership at the ISO a</w:t>
      </w:r>
      <w:r w:rsidR="00260438">
        <w:t>nd IEC level is vital to ensure European interests are taken into account.</w:t>
      </w:r>
      <w:r w:rsidR="00260438" w:rsidRPr="00C929B1">
        <w:t xml:space="preserve"> </w:t>
      </w:r>
      <w:r w:rsidR="00260438">
        <w:t>T</w:t>
      </w:r>
      <w:r w:rsidR="003A27FC" w:rsidRPr="00C929B1">
        <w:t xml:space="preserve">hrough </w:t>
      </w:r>
      <w:r w:rsidR="003A27FC">
        <w:t xml:space="preserve">its </w:t>
      </w:r>
      <w:r w:rsidR="003A27FC" w:rsidRPr="00C929B1">
        <w:t xml:space="preserve">agreements with </w:t>
      </w:r>
      <w:r w:rsidR="00E17F26">
        <w:t>standards makers</w:t>
      </w:r>
      <w:r w:rsidR="003A27FC" w:rsidRPr="00C929B1">
        <w:t xml:space="preserve"> outside of Europe</w:t>
      </w:r>
      <w:r w:rsidR="003A27FC">
        <w:t xml:space="preserve">, </w:t>
      </w:r>
      <w:r w:rsidRPr="00C929B1">
        <w:t>CEN and CENELEC also have a unique opportunity</w:t>
      </w:r>
      <w:r w:rsidR="003A27FC">
        <w:t xml:space="preserve"> </w:t>
      </w:r>
      <w:r w:rsidR="0031297E">
        <w:t>to encourage the uptake of international s</w:t>
      </w:r>
      <w:r w:rsidRPr="00C929B1">
        <w:t xml:space="preserve">tandards </w:t>
      </w:r>
      <w:r w:rsidR="0023255D" w:rsidRPr="00C929B1">
        <w:t>and export and promote the E</w:t>
      </w:r>
      <w:r w:rsidR="00F31E87">
        <w:t>uropean St</w:t>
      </w:r>
      <w:r w:rsidR="008F4C16">
        <w:t>andardization System</w:t>
      </w:r>
      <w:r w:rsidR="003A27FC">
        <w:t xml:space="preserve"> beyond Europe</w:t>
      </w:r>
      <w:r w:rsidR="0023255D" w:rsidRPr="00C929B1">
        <w:t>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9109E" w:rsidRPr="00C929B1" w14:paraId="0D198435" w14:textId="77777777" w:rsidTr="006D7E74">
        <w:tc>
          <w:tcPr>
            <w:tcW w:w="9072" w:type="dxa"/>
            <w:shd w:val="clear" w:color="auto" w:fill="DBE5F1" w:themeFill="accent1" w:themeFillTint="33"/>
          </w:tcPr>
          <w:p w14:paraId="113DDB7A" w14:textId="77777777" w:rsidR="0069109E" w:rsidRPr="00C929B1" w:rsidRDefault="0069109E" w:rsidP="006D7E74">
            <w:pPr>
              <w:jc w:val="both"/>
            </w:pPr>
            <w:r w:rsidRPr="00C929B1">
              <w:t>Objectives</w:t>
            </w:r>
          </w:p>
        </w:tc>
      </w:tr>
      <w:tr w:rsidR="0069109E" w:rsidRPr="00C929B1" w14:paraId="1C5ABCAB" w14:textId="77777777" w:rsidTr="006D7E74">
        <w:tc>
          <w:tcPr>
            <w:tcW w:w="9072" w:type="dxa"/>
          </w:tcPr>
          <w:p w14:paraId="26F1912A" w14:textId="15AF26DE" w:rsidR="0069109E" w:rsidRPr="00C929B1" w:rsidRDefault="0069109E" w:rsidP="008F4C16">
            <w:pPr>
              <w:pStyle w:val="Odstavecseseznamem"/>
              <w:ind w:left="0"/>
              <w:jc w:val="both"/>
            </w:pPr>
            <w:r w:rsidRPr="00C929B1">
              <w:t xml:space="preserve">4.3.1. </w:t>
            </w:r>
            <w:r w:rsidR="00F31E87">
              <w:t>By 202</w:t>
            </w:r>
            <w:r w:rsidR="008F4C16">
              <w:t>X CEN and CENELEC d</w:t>
            </w:r>
            <w:r w:rsidRPr="00C929B1">
              <w:t xml:space="preserve">evelop a rolling annual action plan for strategic </w:t>
            </w:r>
            <w:r w:rsidR="0031297E">
              <w:t>engagement at the ISO</w:t>
            </w:r>
            <w:r w:rsidR="008F4C16">
              <w:t xml:space="preserve"> and IEC</w:t>
            </w:r>
            <w:r w:rsidR="0031297E">
              <w:t xml:space="preserve"> </w:t>
            </w:r>
            <w:r w:rsidR="00C454D6" w:rsidRPr="00C929B1">
              <w:t>level</w:t>
            </w:r>
            <w:r w:rsidR="003A27FC">
              <w:t>.</w:t>
            </w:r>
          </w:p>
        </w:tc>
      </w:tr>
    </w:tbl>
    <w:p w14:paraId="6004BFBD" w14:textId="77777777" w:rsidR="000A7238" w:rsidRPr="00C929B1" w:rsidRDefault="004A3898" w:rsidP="00BA4AEF">
      <w:pPr>
        <w:pStyle w:val="Nadpis2"/>
        <w:numPr>
          <w:ilvl w:val="0"/>
          <w:numId w:val="1"/>
        </w:numPr>
        <w:spacing w:after="120"/>
        <w:jc w:val="both"/>
      </w:pPr>
      <w:r w:rsidRPr="00C929B1">
        <w:br w:type="column"/>
      </w:r>
      <w:r w:rsidR="00892ABA" w:rsidRPr="00C929B1">
        <w:t>N</w:t>
      </w:r>
      <w:r w:rsidR="000A7238" w:rsidRPr="00C929B1">
        <w:t>ext steps</w:t>
      </w:r>
    </w:p>
    <w:p w14:paraId="313CAAC6" w14:textId="34C3D31D" w:rsidR="008F4C16" w:rsidRDefault="005F6C58" w:rsidP="005B1EA5">
      <w:pPr>
        <w:jc w:val="both"/>
      </w:pPr>
      <w:r w:rsidRPr="00C929B1">
        <w:t>B</w:t>
      </w:r>
      <w:r w:rsidR="00897AB4" w:rsidRPr="00C929B1">
        <w:t xml:space="preserve">ased on the </w:t>
      </w:r>
      <w:r w:rsidR="008F4C16">
        <w:t xml:space="preserve">feedback and </w:t>
      </w:r>
      <w:r w:rsidR="00897AB4" w:rsidRPr="00C929B1">
        <w:t>inpu</w:t>
      </w:r>
      <w:r w:rsidR="009D601C" w:rsidRPr="00C929B1">
        <w:t xml:space="preserve">ts gathered during the national and </w:t>
      </w:r>
      <w:r w:rsidR="00897AB4" w:rsidRPr="00C929B1">
        <w:t xml:space="preserve">European consultation rounds, </w:t>
      </w:r>
      <w:r w:rsidR="008F4C16">
        <w:t>CEN and CENELEC</w:t>
      </w:r>
      <w:r w:rsidR="008F4C16" w:rsidRPr="00C929B1">
        <w:t xml:space="preserve"> </w:t>
      </w:r>
      <w:r w:rsidR="00897AB4" w:rsidRPr="00C929B1">
        <w:t>will consolidate</w:t>
      </w:r>
      <w:r w:rsidR="008F4C16">
        <w:t xml:space="preserve"> </w:t>
      </w:r>
      <w:r w:rsidR="003020EE">
        <w:t>a</w:t>
      </w:r>
      <w:r w:rsidR="008F4C16">
        <w:t xml:space="preserve"> </w:t>
      </w:r>
      <w:r w:rsidR="003020EE">
        <w:t>revised</w:t>
      </w:r>
      <w:r w:rsidR="008F4C16">
        <w:t xml:space="preserve"> version of the CEN-CENELEC Strategy2030</w:t>
      </w:r>
      <w:r w:rsidR="003020EE">
        <w:t>,</w:t>
      </w:r>
      <w:r w:rsidR="008F4C16">
        <w:t xml:space="preserve"> which will be presented </w:t>
      </w:r>
      <w:r w:rsidR="00940FD4">
        <w:t>at</w:t>
      </w:r>
      <w:r w:rsidR="008F4C16">
        <w:t xml:space="preserve"> a</w:t>
      </w:r>
      <w:r w:rsidR="007E186F">
        <w:t xml:space="preserve"> multi-</w:t>
      </w:r>
      <w:r w:rsidR="008F4C16">
        <w:t>stakeholder workshop on</w:t>
      </w:r>
      <w:r w:rsidR="00897AB4" w:rsidRPr="00C929B1">
        <w:t xml:space="preserve"> </w:t>
      </w:r>
      <w:r w:rsidR="00226394" w:rsidRPr="00C929B1">
        <w:t xml:space="preserve">22 </w:t>
      </w:r>
      <w:r w:rsidR="00936D82" w:rsidRPr="00C929B1">
        <w:t>April 2020</w:t>
      </w:r>
      <w:r w:rsidR="008F4C16">
        <w:t>.</w:t>
      </w:r>
    </w:p>
    <w:p w14:paraId="7F704418" w14:textId="60100900" w:rsidR="008F4C16" w:rsidRDefault="009F66BD" w:rsidP="005B1EA5">
      <w:pPr>
        <w:jc w:val="both"/>
      </w:pPr>
      <w:r>
        <w:t xml:space="preserve">A final version of the </w:t>
      </w:r>
      <w:r w:rsidR="008F4C16">
        <w:t>CEN</w:t>
      </w:r>
      <w:r w:rsidR="00940FD4">
        <w:t xml:space="preserve"> and </w:t>
      </w:r>
      <w:r w:rsidR="008F4C16">
        <w:t>CENELEC Strategy</w:t>
      </w:r>
      <w:r w:rsidR="00940FD4">
        <w:t xml:space="preserve"> </w:t>
      </w:r>
      <w:r w:rsidR="007E186F">
        <w:t>2030 will be approved</w:t>
      </w:r>
      <w:r w:rsidR="00936D82" w:rsidRPr="00C929B1">
        <w:t xml:space="preserve"> </w:t>
      </w:r>
      <w:r w:rsidR="00717DBF" w:rsidRPr="00C929B1">
        <w:t>at</w:t>
      </w:r>
      <w:r w:rsidR="00936D82" w:rsidRPr="00C929B1">
        <w:t xml:space="preserve"> </w:t>
      </w:r>
      <w:r w:rsidR="00940FD4">
        <w:t>our</w:t>
      </w:r>
      <w:r w:rsidR="00940FD4" w:rsidRPr="00C929B1">
        <w:t xml:space="preserve"> </w:t>
      </w:r>
      <w:r w:rsidR="00936D82" w:rsidRPr="00C929B1">
        <w:t>General Assembly</w:t>
      </w:r>
      <w:r w:rsidR="001B756F" w:rsidRPr="00C929B1">
        <w:t xml:space="preserve"> in Vienna</w:t>
      </w:r>
      <w:r w:rsidR="00940FD4">
        <w:t xml:space="preserve"> </w:t>
      </w:r>
      <w:r w:rsidR="007E186F">
        <w:t>in June 2020</w:t>
      </w:r>
      <w:r w:rsidR="00E91D79" w:rsidRPr="00C929B1">
        <w:t>.</w:t>
      </w:r>
    </w:p>
    <w:p w14:paraId="10F14894" w14:textId="2AA29EDC" w:rsidR="008F4C16" w:rsidRDefault="008F4C16" w:rsidP="005B1EA5">
      <w:pPr>
        <w:jc w:val="both"/>
      </w:pPr>
      <w:r>
        <w:t>The CEN</w:t>
      </w:r>
      <w:r w:rsidR="00940FD4">
        <w:t xml:space="preserve"> and </w:t>
      </w:r>
      <w:r>
        <w:t xml:space="preserve">CENELEC Strategy2030 will be deployed by CEN and CENELEC </w:t>
      </w:r>
      <w:r w:rsidR="007E186F">
        <w:t>from</w:t>
      </w:r>
      <w:r>
        <w:t xml:space="preserve"> January 2021 </w:t>
      </w:r>
      <w:r w:rsidR="007E186F">
        <w:t xml:space="preserve">onwards, </w:t>
      </w:r>
      <w:r>
        <w:t>and</w:t>
      </w:r>
      <w:r w:rsidR="007E186F">
        <w:t xml:space="preserve"> will be</w:t>
      </w:r>
      <w:r>
        <w:t xml:space="preserve"> made available online at </w:t>
      </w:r>
      <w:hyperlink r:id="rId13" w:history="1">
        <w:r w:rsidRPr="00137643">
          <w:rPr>
            <w:rStyle w:val="Hypertextovodkaz"/>
          </w:rPr>
          <w:t>www.cencenelec.eu</w:t>
        </w:r>
      </w:hyperlink>
      <w:r w:rsidR="009F66BD">
        <w:rPr>
          <w:rStyle w:val="Hypertextovodkaz"/>
        </w:rPr>
        <w:t>,</w:t>
      </w:r>
      <w:r>
        <w:t xml:space="preserve"> as well as by the </w:t>
      </w:r>
      <w:hyperlink r:id="rId14" w:history="1">
        <w:r w:rsidR="00940FD4" w:rsidRPr="007E186F">
          <w:rPr>
            <w:rStyle w:val="Hypertextovodkaz"/>
          </w:rPr>
          <w:t>CEN</w:t>
        </w:r>
      </w:hyperlink>
      <w:r w:rsidR="007E186F">
        <w:t xml:space="preserve"> </w:t>
      </w:r>
      <w:r w:rsidR="00940FD4">
        <w:t xml:space="preserve">and </w:t>
      </w:r>
      <w:hyperlink r:id="rId15" w:history="1">
        <w:r w:rsidR="00940FD4" w:rsidRPr="007E186F">
          <w:rPr>
            <w:rStyle w:val="Hypertextovodkaz"/>
          </w:rPr>
          <w:t>CENELEC</w:t>
        </w:r>
      </w:hyperlink>
      <w:r w:rsidR="007E186F">
        <w:t xml:space="preserve"> </w:t>
      </w:r>
      <w:r w:rsidR="00940FD4">
        <w:t>Members</w:t>
      </w:r>
      <w:r>
        <w:t>.</w:t>
      </w:r>
    </w:p>
    <w:p w14:paraId="137A12FC" w14:textId="77777777" w:rsidR="00CC2192" w:rsidRDefault="00334C7E" w:rsidP="005B1EA5">
      <w:pPr>
        <w:jc w:val="both"/>
      </w:pPr>
      <w:r w:rsidRPr="00C929B1">
        <w:br w:type="column"/>
      </w:r>
      <w:r w:rsidR="00554E25" w:rsidRPr="00C929B1">
        <w:t>Annex I</w:t>
      </w:r>
      <w:r w:rsidR="003A27FC">
        <w:t xml:space="preserve"> </w:t>
      </w:r>
      <w:r w:rsidR="003A27FC" w:rsidRPr="00260438">
        <w:t>-</w:t>
      </w:r>
      <w:r w:rsidR="0041527C" w:rsidRPr="00C929B1">
        <w:t xml:space="preserve"> Roadmap to </w:t>
      </w:r>
      <w:r w:rsidR="00630A9F" w:rsidRPr="00C929B1">
        <w:t>June 202</w:t>
      </w:r>
      <w:r w:rsidR="0041527C" w:rsidRPr="00C929B1">
        <w:t>0</w:t>
      </w:r>
    </w:p>
    <w:p w14:paraId="4D371062" w14:textId="77777777" w:rsidR="005B1EA5" w:rsidRPr="00C929B1" w:rsidRDefault="005B1EA5" w:rsidP="005B1EA5">
      <w:pPr>
        <w:jc w:val="both"/>
      </w:pPr>
      <w:r w:rsidRPr="005B1EA5">
        <w:rPr>
          <w:noProof/>
          <w:lang w:val="cs-CZ" w:eastAsia="cs-CZ"/>
        </w:rPr>
        <w:drawing>
          <wp:inline distT="0" distB="0" distL="0" distR="0" wp14:anchorId="16427797" wp14:editId="22A4A824">
            <wp:extent cx="5731510" cy="2673985"/>
            <wp:effectExtent l="38100" t="19050" r="78740" b="3111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F7F7782-F064-7143-A95C-5C398C8C8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47C5A57" w14:textId="40C55E5E" w:rsidR="00334C7E" w:rsidRPr="00C929B1" w:rsidRDefault="00334C7E" w:rsidP="00594F20">
      <w:pPr>
        <w:jc w:val="both"/>
      </w:pPr>
    </w:p>
    <w:sectPr w:rsidR="00334C7E" w:rsidRPr="00C9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BEB06" w16cid:durableId="21544893"/>
  <w16cid:commentId w16cid:paraId="5ED5F1B7" w16cid:durableId="215448ED"/>
  <w16cid:commentId w16cid:paraId="6960E396" w16cid:durableId="21544901"/>
  <w16cid:commentId w16cid:paraId="0EA2D76A" w16cid:durableId="21544931"/>
  <w16cid:commentId w16cid:paraId="2303BBC4" w16cid:durableId="2154494A"/>
  <w16cid:commentId w16cid:paraId="0B8F11BF" w16cid:durableId="215449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87215" w14:textId="77777777" w:rsidR="00752F7E" w:rsidRDefault="00752F7E" w:rsidP="007B3F2B">
      <w:pPr>
        <w:spacing w:after="0" w:line="240" w:lineRule="auto"/>
      </w:pPr>
      <w:r>
        <w:separator/>
      </w:r>
    </w:p>
  </w:endnote>
  <w:endnote w:type="continuationSeparator" w:id="0">
    <w:p w14:paraId="3D692B3A" w14:textId="77777777" w:rsidR="00752F7E" w:rsidRDefault="00752F7E" w:rsidP="007B3F2B">
      <w:pPr>
        <w:spacing w:after="0" w:line="240" w:lineRule="auto"/>
      </w:pPr>
      <w:r>
        <w:continuationSeparator/>
      </w:r>
    </w:p>
  </w:endnote>
  <w:endnote w:type="continuationNotice" w:id="1">
    <w:p w14:paraId="143593D0" w14:textId="77777777" w:rsidR="00752F7E" w:rsidRDefault="00752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613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CEB76" w14:textId="22D38143" w:rsidR="00752F7E" w:rsidRDefault="00752F7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B1EE87" w14:textId="77777777" w:rsidR="00752F7E" w:rsidRDefault="00752F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DB60" w14:textId="77777777" w:rsidR="00752F7E" w:rsidRDefault="00752F7E" w:rsidP="007B3F2B">
      <w:pPr>
        <w:spacing w:after="0" w:line="240" w:lineRule="auto"/>
      </w:pPr>
      <w:r>
        <w:separator/>
      </w:r>
    </w:p>
  </w:footnote>
  <w:footnote w:type="continuationSeparator" w:id="0">
    <w:p w14:paraId="31E0999B" w14:textId="77777777" w:rsidR="00752F7E" w:rsidRDefault="00752F7E" w:rsidP="007B3F2B">
      <w:pPr>
        <w:spacing w:after="0" w:line="240" w:lineRule="auto"/>
      </w:pPr>
      <w:r>
        <w:continuationSeparator/>
      </w:r>
    </w:p>
  </w:footnote>
  <w:footnote w:type="continuationNotice" w:id="1">
    <w:p w14:paraId="71454190" w14:textId="77777777" w:rsidR="00752F7E" w:rsidRDefault="00752F7E">
      <w:pPr>
        <w:spacing w:after="0" w:line="240" w:lineRule="auto"/>
      </w:pPr>
    </w:p>
  </w:footnote>
  <w:footnote w:id="2">
    <w:p w14:paraId="00E59E02" w14:textId="30883849" w:rsidR="00752F7E" w:rsidRDefault="00752F7E" w:rsidP="001F5531">
      <w:pPr>
        <w:pStyle w:val="Textpoznpodarou"/>
      </w:pPr>
      <w:r>
        <w:rPr>
          <w:rStyle w:val="Znakapoznpodarou"/>
        </w:rPr>
        <w:footnoteRef/>
      </w:r>
      <w:r>
        <w:t xml:space="preserve"> CEN and CENELEC </w:t>
      </w:r>
      <w:r w:rsidR="0017078F">
        <w:t>refers to the two</w:t>
      </w:r>
      <w:r>
        <w:t xml:space="preserve"> associations of national Members and their central secretariat, the CEN-CENELEC Management Centre (CCMC).</w:t>
      </w:r>
    </w:p>
  </w:footnote>
  <w:footnote w:id="3">
    <w:p w14:paraId="7B2C7694" w14:textId="78D5CB9A" w:rsidR="00752F7E" w:rsidRDefault="00752F7E" w:rsidP="00CE38F1">
      <w:pPr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M</w:t>
      </w:r>
      <w:r w:rsidRPr="00CE38F1">
        <w:rPr>
          <w:sz w:val="20"/>
          <w:szCs w:val="20"/>
        </w:rPr>
        <w:t xml:space="preserve">any of the issues </w:t>
      </w:r>
      <w:r>
        <w:rPr>
          <w:sz w:val="20"/>
          <w:szCs w:val="20"/>
        </w:rPr>
        <w:t>outlined</w:t>
      </w:r>
      <w:r w:rsidRPr="00CE38F1">
        <w:rPr>
          <w:sz w:val="20"/>
          <w:szCs w:val="20"/>
        </w:rPr>
        <w:t xml:space="preserve"> above are part of the CEN and CENELEC Strategic Plan for Digital Transformation, adopted in 2017. Some are already being addressed through a series of pilot projects</w:t>
      </w:r>
      <w:r>
        <w:rPr>
          <w:sz w:val="20"/>
          <w:szCs w:val="20"/>
        </w:rPr>
        <w:t>,</w:t>
      </w:r>
      <w:r w:rsidRPr="00CE38F1">
        <w:rPr>
          <w:sz w:val="20"/>
          <w:szCs w:val="20"/>
        </w:rPr>
        <w:t xml:space="preserve"> which are currently ongoing. Any further strategic planning on Digital Transformation </w:t>
      </w:r>
      <w:r>
        <w:rPr>
          <w:sz w:val="20"/>
          <w:szCs w:val="20"/>
        </w:rPr>
        <w:t>will</w:t>
      </w:r>
      <w:r w:rsidRPr="00CE38F1">
        <w:rPr>
          <w:sz w:val="20"/>
          <w:szCs w:val="20"/>
        </w:rPr>
        <w:t xml:space="preserve"> therefore be closely aligned </w:t>
      </w:r>
      <w:r>
        <w:rPr>
          <w:sz w:val="20"/>
          <w:szCs w:val="20"/>
        </w:rPr>
        <w:t xml:space="preserve">with the work of the CEN-CENELEC </w:t>
      </w:r>
      <w:r w:rsidRPr="00CE38F1">
        <w:rPr>
          <w:bCs/>
          <w:sz w:val="20"/>
          <w:szCs w:val="20"/>
        </w:rPr>
        <w:t>Strategic Advisory Group on Digital and Information Technology (DITSAG</w:t>
      </w:r>
      <w:r>
        <w:rPr>
          <w:bCs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828" w14:textId="77777777" w:rsidR="00752F7E" w:rsidRDefault="003E464A">
    <w:pPr>
      <w:pStyle w:val="Zhlav"/>
    </w:pPr>
    <w:r>
      <w:rPr>
        <w:noProof/>
      </w:rPr>
      <w:pict w14:anchorId="251E6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96657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7E18" w14:textId="356590D8" w:rsidR="00752F7E" w:rsidRDefault="003E464A">
    <w:pPr>
      <w:pStyle w:val="Zhlav"/>
    </w:pPr>
    <w:r>
      <w:rPr>
        <w:noProof/>
      </w:rPr>
      <w:pict w14:anchorId="19A74E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96658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E97A69">
      <w:t>Draft for consultations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BF09" w14:textId="77777777" w:rsidR="00752F7E" w:rsidRDefault="003E464A">
    <w:pPr>
      <w:pStyle w:val="Zhlav"/>
    </w:pPr>
    <w:r>
      <w:rPr>
        <w:noProof/>
      </w:rPr>
      <w:pict w14:anchorId="4284EF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96656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0B6"/>
    <w:multiLevelType w:val="hybridMultilevel"/>
    <w:tmpl w:val="DAB85394"/>
    <w:lvl w:ilvl="0" w:tplc="66A4FBA0">
      <w:start w:val="4"/>
      <w:numFmt w:val="decimal"/>
      <w:lvlText w:val="%1.3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ED6"/>
    <w:multiLevelType w:val="multilevel"/>
    <w:tmpl w:val="E85EF756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AE333CE"/>
    <w:multiLevelType w:val="hybridMultilevel"/>
    <w:tmpl w:val="6A26A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058C"/>
    <w:multiLevelType w:val="hybridMultilevel"/>
    <w:tmpl w:val="3398DD96"/>
    <w:lvl w:ilvl="0" w:tplc="35E6354C">
      <w:start w:val="2"/>
      <w:numFmt w:val="decimal"/>
      <w:lvlText w:val="%1.2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231"/>
    <w:multiLevelType w:val="hybridMultilevel"/>
    <w:tmpl w:val="C92AEF12"/>
    <w:lvl w:ilvl="0" w:tplc="D67274EA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2B0A"/>
    <w:multiLevelType w:val="hybridMultilevel"/>
    <w:tmpl w:val="9850A300"/>
    <w:lvl w:ilvl="0" w:tplc="C19C0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3FDA"/>
    <w:multiLevelType w:val="hybridMultilevel"/>
    <w:tmpl w:val="5B4E4EEE"/>
    <w:lvl w:ilvl="0" w:tplc="989AF59E">
      <w:start w:val="2"/>
      <w:numFmt w:val="decimal"/>
      <w:lvlText w:val="%1.3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5FD0"/>
    <w:multiLevelType w:val="multilevel"/>
    <w:tmpl w:val="E028FFA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D7E54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930987"/>
    <w:multiLevelType w:val="hybridMultilevel"/>
    <w:tmpl w:val="AABC9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62E9"/>
    <w:multiLevelType w:val="hybridMultilevel"/>
    <w:tmpl w:val="B0121972"/>
    <w:lvl w:ilvl="0" w:tplc="C19C0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E4142"/>
    <w:multiLevelType w:val="hybridMultilevel"/>
    <w:tmpl w:val="707493EA"/>
    <w:lvl w:ilvl="0" w:tplc="52A27672">
      <w:start w:val="4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65571"/>
    <w:multiLevelType w:val="hybridMultilevel"/>
    <w:tmpl w:val="5098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60E3C"/>
    <w:multiLevelType w:val="hybridMultilevel"/>
    <w:tmpl w:val="988A8428"/>
    <w:lvl w:ilvl="0" w:tplc="28A6D62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91D2B"/>
    <w:multiLevelType w:val="hybridMultilevel"/>
    <w:tmpl w:val="8D407BC2"/>
    <w:lvl w:ilvl="0" w:tplc="4198B000">
      <w:start w:val="4"/>
      <w:numFmt w:val="decimal"/>
      <w:lvlText w:val="%1.2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93602"/>
    <w:multiLevelType w:val="hybridMultilevel"/>
    <w:tmpl w:val="52F86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5"/>
  </w:num>
  <w:num w:numId="15">
    <w:abstractNumId w:val="1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44"/>
    <w:rsid w:val="00001173"/>
    <w:rsid w:val="00002164"/>
    <w:rsid w:val="00004AE4"/>
    <w:rsid w:val="00005A3D"/>
    <w:rsid w:val="0000714E"/>
    <w:rsid w:val="000134B2"/>
    <w:rsid w:val="0003255C"/>
    <w:rsid w:val="00034936"/>
    <w:rsid w:val="00037275"/>
    <w:rsid w:val="00053884"/>
    <w:rsid w:val="000549B2"/>
    <w:rsid w:val="000611B3"/>
    <w:rsid w:val="00061FB6"/>
    <w:rsid w:val="00082F89"/>
    <w:rsid w:val="0008301D"/>
    <w:rsid w:val="0009232F"/>
    <w:rsid w:val="00092EB8"/>
    <w:rsid w:val="00093CC7"/>
    <w:rsid w:val="000A0C1B"/>
    <w:rsid w:val="000A1B2A"/>
    <w:rsid w:val="000A7238"/>
    <w:rsid w:val="000B492C"/>
    <w:rsid w:val="000D4001"/>
    <w:rsid w:val="000E534F"/>
    <w:rsid w:val="000E5DFB"/>
    <w:rsid w:val="000F192D"/>
    <w:rsid w:val="000F269D"/>
    <w:rsid w:val="0010218B"/>
    <w:rsid w:val="00103314"/>
    <w:rsid w:val="00103D55"/>
    <w:rsid w:val="0010720B"/>
    <w:rsid w:val="0011272D"/>
    <w:rsid w:val="001139A8"/>
    <w:rsid w:val="0011586B"/>
    <w:rsid w:val="00117199"/>
    <w:rsid w:val="001203AD"/>
    <w:rsid w:val="00123127"/>
    <w:rsid w:val="00124770"/>
    <w:rsid w:val="00124C14"/>
    <w:rsid w:val="00124EDC"/>
    <w:rsid w:val="00125297"/>
    <w:rsid w:val="00125652"/>
    <w:rsid w:val="00133307"/>
    <w:rsid w:val="00134155"/>
    <w:rsid w:val="001407BD"/>
    <w:rsid w:val="0014392C"/>
    <w:rsid w:val="00146B72"/>
    <w:rsid w:val="00155691"/>
    <w:rsid w:val="00157486"/>
    <w:rsid w:val="00160CE1"/>
    <w:rsid w:val="00162DDD"/>
    <w:rsid w:val="00163568"/>
    <w:rsid w:val="0016468E"/>
    <w:rsid w:val="00165044"/>
    <w:rsid w:val="001657B6"/>
    <w:rsid w:val="00167D79"/>
    <w:rsid w:val="0017078F"/>
    <w:rsid w:val="001734B5"/>
    <w:rsid w:val="00177578"/>
    <w:rsid w:val="00177623"/>
    <w:rsid w:val="001825DE"/>
    <w:rsid w:val="001827F7"/>
    <w:rsid w:val="001850EC"/>
    <w:rsid w:val="001900FD"/>
    <w:rsid w:val="001928D1"/>
    <w:rsid w:val="00194500"/>
    <w:rsid w:val="001A184B"/>
    <w:rsid w:val="001A3870"/>
    <w:rsid w:val="001A67DA"/>
    <w:rsid w:val="001A74B7"/>
    <w:rsid w:val="001B2F0A"/>
    <w:rsid w:val="001B756F"/>
    <w:rsid w:val="001C01E0"/>
    <w:rsid w:val="001C479D"/>
    <w:rsid w:val="001C508B"/>
    <w:rsid w:val="001D7C5E"/>
    <w:rsid w:val="001E0FB4"/>
    <w:rsid w:val="001E12CC"/>
    <w:rsid w:val="001E1825"/>
    <w:rsid w:val="001E4FEA"/>
    <w:rsid w:val="001F3450"/>
    <w:rsid w:val="001F3708"/>
    <w:rsid w:val="001F4142"/>
    <w:rsid w:val="001F5531"/>
    <w:rsid w:val="002023B9"/>
    <w:rsid w:val="00203451"/>
    <w:rsid w:val="002047FA"/>
    <w:rsid w:val="002059B0"/>
    <w:rsid w:val="00207223"/>
    <w:rsid w:val="00207486"/>
    <w:rsid w:val="00216BBA"/>
    <w:rsid w:val="00216C5A"/>
    <w:rsid w:val="002204EF"/>
    <w:rsid w:val="00220F2C"/>
    <w:rsid w:val="00222ED0"/>
    <w:rsid w:val="00225CA3"/>
    <w:rsid w:val="00226394"/>
    <w:rsid w:val="0023255D"/>
    <w:rsid w:val="00233D96"/>
    <w:rsid w:val="002343FF"/>
    <w:rsid w:val="002370E6"/>
    <w:rsid w:val="00245AD5"/>
    <w:rsid w:val="00250571"/>
    <w:rsid w:val="00252AB0"/>
    <w:rsid w:val="00253B85"/>
    <w:rsid w:val="00257903"/>
    <w:rsid w:val="00260438"/>
    <w:rsid w:val="00274CCA"/>
    <w:rsid w:val="0028145F"/>
    <w:rsid w:val="0028328B"/>
    <w:rsid w:val="00283988"/>
    <w:rsid w:val="002858FD"/>
    <w:rsid w:val="002862CA"/>
    <w:rsid w:val="002936DC"/>
    <w:rsid w:val="002958DC"/>
    <w:rsid w:val="002A12AA"/>
    <w:rsid w:val="002B11BC"/>
    <w:rsid w:val="002B1CA0"/>
    <w:rsid w:val="002B46DC"/>
    <w:rsid w:val="002B540D"/>
    <w:rsid w:val="002C222C"/>
    <w:rsid w:val="002C2875"/>
    <w:rsid w:val="002D2EE5"/>
    <w:rsid w:val="002D30E0"/>
    <w:rsid w:val="002D356C"/>
    <w:rsid w:val="002E0A09"/>
    <w:rsid w:val="002E6F53"/>
    <w:rsid w:val="002F149C"/>
    <w:rsid w:val="00300747"/>
    <w:rsid w:val="00301A77"/>
    <w:rsid w:val="003020EE"/>
    <w:rsid w:val="00303A17"/>
    <w:rsid w:val="00305C9F"/>
    <w:rsid w:val="003060C7"/>
    <w:rsid w:val="0031297E"/>
    <w:rsid w:val="00312989"/>
    <w:rsid w:val="003136EB"/>
    <w:rsid w:val="003316C3"/>
    <w:rsid w:val="00332FE2"/>
    <w:rsid w:val="00334C7E"/>
    <w:rsid w:val="00340739"/>
    <w:rsid w:val="00345D7B"/>
    <w:rsid w:val="0034643F"/>
    <w:rsid w:val="003472D4"/>
    <w:rsid w:val="00347864"/>
    <w:rsid w:val="00352315"/>
    <w:rsid w:val="00361C8B"/>
    <w:rsid w:val="0037272E"/>
    <w:rsid w:val="00377F66"/>
    <w:rsid w:val="0038120C"/>
    <w:rsid w:val="00381C53"/>
    <w:rsid w:val="003867BB"/>
    <w:rsid w:val="00387126"/>
    <w:rsid w:val="00394667"/>
    <w:rsid w:val="00396B82"/>
    <w:rsid w:val="003A11F1"/>
    <w:rsid w:val="003A1DA0"/>
    <w:rsid w:val="003A271E"/>
    <w:rsid w:val="003A27FC"/>
    <w:rsid w:val="003A38B0"/>
    <w:rsid w:val="003B1A0D"/>
    <w:rsid w:val="003B38B3"/>
    <w:rsid w:val="003B5C14"/>
    <w:rsid w:val="003C41D6"/>
    <w:rsid w:val="003C635B"/>
    <w:rsid w:val="003C7E8A"/>
    <w:rsid w:val="003D1244"/>
    <w:rsid w:val="003D38E8"/>
    <w:rsid w:val="003D7DDD"/>
    <w:rsid w:val="003E02CE"/>
    <w:rsid w:val="003E305C"/>
    <w:rsid w:val="003E3477"/>
    <w:rsid w:val="003E34BA"/>
    <w:rsid w:val="003E464A"/>
    <w:rsid w:val="003F2290"/>
    <w:rsid w:val="003F2480"/>
    <w:rsid w:val="003F3FD7"/>
    <w:rsid w:val="003F4BCA"/>
    <w:rsid w:val="004017AB"/>
    <w:rsid w:val="0040187D"/>
    <w:rsid w:val="004145C7"/>
    <w:rsid w:val="0041527C"/>
    <w:rsid w:val="00415D85"/>
    <w:rsid w:val="00423829"/>
    <w:rsid w:val="0042644D"/>
    <w:rsid w:val="0042734D"/>
    <w:rsid w:val="004275E9"/>
    <w:rsid w:val="00433ACC"/>
    <w:rsid w:val="004357EF"/>
    <w:rsid w:val="004361D4"/>
    <w:rsid w:val="00442DA4"/>
    <w:rsid w:val="004464D6"/>
    <w:rsid w:val="00451BB6"/>
    <w:rsid w:val="00455A14"/>
    <w:rsid w:val="00460E3F"/>
    <w:rsid w:val="00463FBA"/>
    <w:rsid w:val="00470CE1"/>
    <w:rsid w:val="0047393C"/>
    <w:rsid w:val="00473F06"/>
    <w:rsid w:val="00475285"/>
    <w:rsid w:val="00477060"/>
    <w:rsid w:val="0048130E"/>
    <w:rsid w:val="004838D6"/>
    <w:rsid w:val="00486B22"/>
    <w:rsid w:val="00486D03"/>
    <w:rsid w:val="00487053"/>
    <w:rsid w:val="004879A1"/>
    <w:rsid w:val="00491420"/>
    <w:rsid w:val="0049704D"/>
    <w:rsid w:val="004A3159"/>
    <w:rsid w:val="004A3898"/>
    <w:rsid w:val="004A404A"/>
    <w:rsid w:val="004B0905"/>
    <w:rsid w:val="004B0B16"/>
    <w:rsid w:val="004B12E3"/>
    <w:rsid w:val="004B42A9"/>
    <w:rsid w:val="004B4E03"/>
    <w:rsid w:val="004C00EB"/>
    <w:rsid w:val="004C69C2"/>
    <w:rsid w:val="004E2E1C"/>
    <w:rsid w:val="004E458A"/>
    <w:rsid w:val="004F34C9"/>
    <w:rsid w:val="004F6703"/>
    <w:rsid w:val="004F6B8A"/>
    <w:rsid w:val="004F6B9E"/>
    <w:rsid w:val="00504835"/>
    <w:rsid w:val="00504AAE"/>
    <w:rsid w:val="005062C7"/>
    <w:rsid w:val="005108F1"/>
    <w:rsid w:val="005110BD"/>
    <w:rsid w:val="00511355"/>
    <w:rsid w:val="00517235"/>
    <w:rsid w:val="005174BA"/>
    <w:rsid w:val="00517885"/>
    <w:rsid w:val="00520E52"/>
    <w:rsid w:val="00525817"/>
    <w:rsid w:val="00527EBC"/>
    <w:rsid w:val="005340F2"/>
    <w:rsid w:val="00535DB1"/>
    <w:rsid w:val="0054428D"/>
    <w:rsid w:val="005449BA"/>
    <w:rsid w:val="005450A1"/>
    <w:rsid w:val="005472A4"/>
    <w:rsid w:val="00547998"/>
    <w:rsid w:val="0055299F"/>
    <w:rsid w:val="0055421C"/>
    <w:rsid w:val="00554E25"/>
    <w:rsid w:val="0056129F"/>
    <w:rsid w:val="00563B49"/>
    <w:rsid w:val="005657C0"/>
    <w:rsid w:val="00572A89"/>
    <w:rsid w:val="00583468"/>
    <w:rsid w:val="0058650A"/>
    <w:rsid w:val="00587F6D"/>
    <w:rsid w:val="00591942"/>
    <w:rsid w:val="00593310"/>
    <w:rsid w:val="00594F20"/>
    <w:rsid w:val="005A23A0"/>
    <w:rsid w:val="005A5CEE"/>
    <w:rsid w:val="005B1EA5"/>
    <w:rsid w:val="005B239E"/>
    <w:rsid w:val="005B668D"/>
    <w:rsid w:val="005C13EA"/>
    <w:rsid w:val="005C199F"/>
    <w:rsid w:val="005C4A65"/>
    <w:rsid w:val="005D1E37"/>
    <w:rsid w:val="005D3556"/>
    <w:rsid w:val="005D39F2"/>
    <w:rsid w:val="005E09E4"/>
    <w:rsid w:val="005E3CA4"/>
    <w:rsid w:val="005E4552"/>
    <w:rsid w:val="005E5DF8"/>
    <w:rsid w:val="005E6974"/>
    <w:rsid w:val="005F06DF"/>
    <w:rsid w:val="005F3B41"/>
    <w:rsid w:val="005F62D0"/>
    <w:rsid w:val="005F6C58"/>
    <w:rsid w:val="0060116F"/>
    <w:rsid w:val="006026BA"/>
    <w:rsid w:val="006029DE"/>
    <w:rsid w:val="006035EA"/>
    <w:rsid w:val="006101FF"/>
    <w:rsid w:val="00614EDC"/>
    <w:rsid w:val="00617DCB"/>
    <w:rsid w:val="00621EBC"/>
    <w:rsid w:val="006269BD"/>
    <w:rsid w:val="00630A9F"/>
    <w:rsid w:val="00640A12"/>
    <w:rsid w:val="00642740"/>
    <w:rsid w:val="00652F57"/>
    <w:rsid w:val="0066250A"/>
    <w:rsid w:val="006643C2"/>
    <w:rsid w:val="006651EB"/>
    <w:rsid w:val="006703B2"/>
    <w:rsid w:val="0067052C"/>
    <w:rsid w:val="0067214C"/>
    <w:rsid w:val="0068212F"/>
    <w:rsid w:val="00690356"/>
    <w:rsid w:val="0069109E"/>
    <w:rsid w:val="00694C6E"/>
    <w:rsid w:val="006A1685"/>
    <w:rsid w:val="006A1A26"/>
    <w:rsid w:val="006A38FF"/>
    <w:rsid w:val="006A6C83"/>
    <w:rsid w:val="006A7650"/>
    <w:rsid w:val="006A7DCF"/>
    <w:rsid w:val="006B0295"/>
    <w:rsid w:val="006B67FC"/>
    <w:rsid w:val="006B6F6D"/>
    <w:rsid w:val="006C131E"/>
    <w:rsid w:val="006C3476"/>
    <w:rsid w:val="006C615A"/>
    <w:rsid w:val="006C7CED"/>
    <w:rsid w:val="006D24EF"/>
    <w:rsid w:val="006D6FC3"/>
    <w:rsid w:val="006D7390"/>
    <w:rsid w:val="006D7E74"/>
    <w:rsid w:val="006E2B09"/>
    <w:rsid w:val="006E3183"/>
    <w:rsid w:val="006E4EED"/>
    <w:rsid w:val="006E558C"/>
    <w:rsid w:val="006E7471"/>
    <w:rsid w:val="006E756E"/>
    <w:rsid w:val="006F30F4"/>
    <w:rsid w:val="006F4677"/>
    <w:rsid w:val="006F5B36"/>
    <w:rsid w:val="00712A0D"/>
    <w:rsid w:val="007151C2"/>
    <w:rsid w:val="00717DBF"/>
    <w:rsid w:val="00723508"/>
    <w:rsid w:val="007242A0"/>
    <w:rsid w:val="007329E9"/>
    <w:rsid w:val="00734773"/>
    <w:rsid w:val="00734EBD"/>
    <w:rsid w:val="00735A5E"/>
    <w:rsid w:val="00740DB9"/>
    <w:rsid w:val="0074270A"/>
    <w:rsid w:val="007471A5"/>
    <w:rsid w:val="00751895"/>
    <w:rsid w:val="00752F7E"/>
    <w:rsid w:val="007537E4"/>
    <w:rsid w:val="007605EC"/>
    <w:rsid w:val="00771E92"/>
    <w:rsid w:val="007724AF"/>
    <w:rsid w:val="00777D8D"/>
    <w:rsid w:val="00780796"/>
    <w:rsid w:val="007833C5"/>
    <w:rsid w:val="00783575"/>
    <w:rsid w:val="007840E9"/>
    <w:rsid w:val="00784F71"/>
    <w:rsid w:val="00785744"/>
    <w:rsid w:val="007868D1"/>
    <w:rsid w:val="007905E6"/>
    <w:rsid w:val="007908C4"/>
    <w:rsid w:val="0079374A"/>
    <w:rsid w:val="00794867"/>
    <w:rsid w:val="007A0AD2"/>
    <w:rsid w:val="007A23CF"/>
    <w:rsid w:val="007A2BC1"/>
    <w:rsid w:val="007B23DE"/>
    <w:rsid w:val="007B377D"/>
    <w:rsid w:val="007B3F2B"/>
    <w:rsid w:val="007B5F9F"/>
    <w:rsid w:val="007C4281"/>
    <w:rsid w:val="007C5842"/>
    <w:rsid w:val="007D0B9E"/>
    <w:rsid w:val="007D4136"/>
    <w:rsid w:val="007D42B6"/>
    <w:rsid w:val="007E186F"/>
    <w:rsid w:val="007E5F5D"/>
    <w:rsid w:val="007E7133"/>
    <w:rsid w:val="007E73D5"/>
    <w:rsid w:val="007F0030"/>
    <w:rsid w:val="007F0867"/>
    <w:rsid w:val="007F26D8"/>
    <w:rsid w:val="00802C6E"/>
    <w:rsid w:val="00806B6A"/>
    <w:rsid w:val="00832E12"/>
    <w:rsid w:val="00835CF3"/>
    <w:rsid w:val="008405AE"/>
    <w:rsid w:val="00846CD9"/>
    <w:rsid w:val="00852C78"/>
    <w:rsid w:val="00856E2F"/>
    <w:rsid w:val="008600BF"/>
    <w:rsid w:val="0086074C"/>
    <w:rsid w:val="00860DCD"/>
    <w:rsid w:val="00865673"/>
    <w:rsid w:val="00866B1F"/>
    <w:rsid w:val="008700F8"/>
    <w:rsid w:val="00872EAB"/>
    <w:rsid w:val="0087469B"/>
    <w:rsid w:val="00876400"/>
    <w:rsid w:val="00880F1A"/>
    <w:rsid w:val="00892ABA"/>
    <w:rsid w:val="0089337F"/>
    <w:rsid w:val="00897AB4"/>
    <w:rsid w:val="008A0FB5"/>
    <w:rsid w:val="008A5CD7"/>
    <w:rsid w:val="008A7AB3"/>
    <w:rsid w:val="008B5A79"/>
    <w:rsid w:val="008C2210"/>
    <w:rsid w:val="008C22A6"/>
    <w:rsid w:val="008D0D4E"/>
    <w:rsid w:val="008E1C04"/>
    <w:rsid w:val="008F1969"/>
    <w:rsid w:val="008F4016"/>
    <w:rsid w:val="008F42D7"/>
    <w:rsid w:val="008F4C16"/>
    <w:rsid w:val="00900468"/>
    <w:rsid w:val="009022FC"/>
    <w:rsid w:val="00903E33"/>
    <w:rsid w:val="0090408C"/>
    <w:rsid w:val="009063C6"/>
    <w:rsid w:val="00907DBB"/>
    <w:rsid w:val="009121C2"/>
    <w:rsid w:val="00912FFE"/>
    <w:rsid w:val="009167EF"/>
    <w:rsid w:val="00917141"/>
    <w:rsid w:val="00922548"/>
    <w:rsid w:val="00930BEA"/>
    <w:rsid w:val="00933FCB"/>
    <w:rsid w:val="00936803"/>
    <w:rsid w:val="00936D82"/>
    <w:rsid w:val="00940C9D"/>
    <w:rsid w:val="00940FD4"/>
    <w:rsid w:val="00941CE2"/>
    <w:rsid w:val="0094213E"/>
    <w:rsid w:val="009444A7"/>
    <w:rsid w:val="0095119A"/>
    <w:rsid w:val="0095292D"/>
    <w:rsid w:val="00960BD9"/>
    <w:rsid w:val="00962390"/>
    <w:rsid w:val="009649A1"/>
    <w:rsid w:val="00964AB5"/>
    <w:rsid w:val="00966E52"/>
    <w:rsid w:val="00967149"/>
    <w:rsid w:val="009701A4"/>
    <w:rsid w:val="009723E1"/>
    <w:rsid w:val="00982736"/>
    <w:rsid w:val="00982F3B"/>
    <w:rsid w:val="00985791"/>
    <w:rsid w:val="009878F5"/>
    <w:rsid w:val="00990215"/>
    <w:rsid w:val="00993388"/>
    <w:rsid w:val="009A5E3F"/>
    <w:rsid w:val="009B060C"/>
    <w:rsid w:val="009B27B5"/>
    <w:rsid w:val="009B7EF6"/>
    <w:rsid w:val="009C2067"/>
    <w:rsid w:val="009C2AEA"/>
    <w:rsid w:val="009C3464"/>
    <w:rsid w:val="009C6FBE"/>
    <w:rsid w:val="009D601C"/>
    <w:rsid w:val="009E39C6"/>
    <w:rsid w:val="009E5794"/>
    <w:rsid w:val="009F60CA"/>
    <w:rsid w:val="009F66BD"/>
    <w:rsid w:val="00A00DD3"/>
    <w:rsid w:val="00A04ECB"/>
    <w:rsid w:val="00A074BD"/>
    <w:rsid w:val="00A11057"/>
    <w:rsid w:val="00A11AFE"/>
    <w:rsid w:val="00A1310A"/>
    <w:rsid w:val="00A1748B"/>
    <w:rsid w:val="00A237D1"/>
    <w:rsid w:val="00A23A54"/>
    <w:rsid w:val="00A2543B"/>
    <w:rsid w:val="00A25CE7"/>
    <w:rsid w:val="00A25ED7"/>
    <w:rsid w:val="00A31FD0"/>
    <w:rsid w:val="00A36CD8"/>
    <w:rsid w:val="00A41DB3"/>
    <w:rsid w:val="00A42F35"/>
    <w:rsid w:val="00A44D34"/>
    <w:rsid w:val="00A4540A"/>
    <w:rsid w:val="00A46120"/>
    <w:rsid w:val="00A520EA"/>
    <w:rsid w:val="00A5263D"/>
    <w:rsid w:val="00A528A6"/>
    <w:rsid w:val="00A667C5"/>
    <w:rsid w:val="00A66AB4"/>
    <w:rsid w:val="00A72515"/>
    <w:rsid w:val="00A73694"/>
    <w:rsid w:val="00A73B39"/>
    <w:rsid w:val="00A76EDF"/>
    <w:rsid w:val="00A857CD"/>
    <w:rsid w:val="00A86A2D"/>
    <w:rsid w:val="00A9062C"/>
    <w:rsid w:val="00A92AD3"/>
    <w:rsid w:val="00A92D2E"/>
    <w:rsid w:val="00A9644C"/>
    <w:rsid w:val="00AC15FE"/>
    <w:rsid w:val="00AC4F79"/>
    <w:rsid w:val="00AC798A"/>
    <w:rsid w:val="00AD17AB"/>
    <w:rsid w:val="00AD7503"/>
    <w:rsid w:val="00AE53F5"/>
    <w:rsid w:val="00AE55F6"/>
    <w:rsid w:val="00AE6B4C"/>
    <w:rsid w:val="00AF61F5"/>
    <w:rsid w:val="00B000FC"/>
    <w:rsid w:val="00B05537"/>
    <w:rsid w:val="00B05BE8"/>
    <w:rsid w:val="00B17704"/>
    <w:rsid w:val="00B3015C"/>
    <w:rsid w:val="00B32FF1"/>
    <w:rsid w:val="00B35CF0"/>
    <w:rsid w:val="00B36597"/>
    <w:rsid w:val="00B51322"/>
    <w:rsid w:val="00B5534F"/>
    <w:rsid w:val="00B57120"/>
    <w:rsid w:val="00B575A5"/>
    <w:rsid w:val="00B648EB"/>
    <w:rsid w:val="00B74663"/>
    <w:rsid w:val="00B91B79"/>
    <w:rsid w:val="00B92765"/>
    <w:rsid w:val="00B940E0"/>
    <w:rsid w:val="00B97640"/>
    <w:rsid w:val="00BA031B"/>
    <w:rsid w:val="00BA4AEF"/>
    <w:rsid w:val="00BB1695"/>
    <w:rsid w:val="00BB7185"/>
    <w:rsid w:val="00BC11FB"/>
    <w:rsid w:val="00BC23A4"/>
    <w:rsid w:val="00BD2488"/>
    <w:rsid w:val="00BD258F"/>
    <w:rsid w:val="00BF361E"/>
    <w:rsid w:val="00C009BB"/>
    <w:rsid w:val="00C01F9E"/>
    <w:rsid w:val="00C07301"/>
    <w:rsid w:val="00C10673"/>
    <w:rsid w:val="00C10938"/>
    <w:rsid w:val="00C14A57"/>
    <w:rsid w:val="00C2647B"/>
    <w:rsid w:val="00C27DD4"/>
    <w:rsid w:val="00C32CA0"/>
    <w:rsid w:val="00C4217A"/>
    <w:rsid w:val="00C454D6"/>
    <w:rsid w:val="00C55593"/>
    <w:rsid w:val="00C622DA"/>
    <w:rsid w:val="00C62C10"/>
    <w:rsid w:val="00C70A08"/>
    <w:rsid w:val="00C70E99"/>
    <w:rsid w:val="00C757D0"/>
    <w:rsid w:val="00C7669A"/>
    <w:rsid w:val="00C83E99"/>
    <w:rsid w:val="00C858D4"/>
    <w:rsid w:val="00C929B1"/>
    <w:rsid w:val="00C93B1C"/>
    <w:rsid w:val="00CA1EB1"/>
    <w:rsid w:val="00CC030E"/>
    <w:rsid w:val="00CC2192"/>
    <w:rsid w:val="00CC3973"/>
    <w:rsid w:val="00CC44EE"/>
    <w:rsid w:val="00CC6579"/>
    <w:rsid w:val="00CD040D"/>
    <w:rsid w:val="00CD593F"/>
    <w:rsid w:val="00CE38F1"/>
    <w:rsid w:val="00CF61C6"/>
    <w:rsid w:val="00CF6B30"/>
    <w:rsid w:val="00D03A74"/>
    <w:rsid w:val="00D064CD"/>
    <w:rsid w:val="00D145B3"/>
    <w:rsid w:val="00D15035"/>
    <w:rsid w:val="00D20A90"/>
    <w:rsid w:val="00D22E49"/>
    <w:rsid w:val="00D3011C"/>
    <w:rsid w:val="00D42FFF"/>
    <w:rsid w:val="00D45033"/>
    <w:rsid w:val="00D45430"/>
    <w:rsid w:val="00D51ED6"/>
    <w:rsid w:val="00D551A5"/>
    <w:rsid w:val="00D569A5"/>
    <w:rsid w:val="00D56D4F"/>
    <w:rsid w:val="00D60294"/>
    <w:rsid w:val="00D64789"/>
    <w:rsid w:val="00D649C2"/>
    <w:rsid w:val="00D66B0D"/>
    <w:rsid w:val="00D70657"/>
    <w:rsid w:val="00D72EEF"/>
    <w:rsid w:val="00D758B5"/>
    <w:rsid w:val="00D81222"/>
    <w:rsid w:val="00D819A1"/>
    <w:rsid w:val="00D842E4"/>
    <w:rsid w:val="00D86C63"/>
    <w:rsid w:val="00D878CA"/>
    <w:rsid w:val="00D968D5"/>
    <w:rsid w:val="00D9729F"/>
    <w:rsid w:val="00DA1AE0"/>
    <w:rsid w:val="00DA3B18"/>
    <w:rsid w:val="00DC0C11"/>
    <w:rsid w:val="00DC2063"/>
    <w:rsid w:val="00DC5D11"/>
    <w:rsid w:val="00DC624D"/>
    <w:rsid w:val="00DC6FA1"/>
    <w:rsid w:val="00DC745B"/>
    <w:rsid w:val="00DD49C6"/>
    <w:rsid w:val="00DD790A"/>
    <w:rsid w:val="00DE0090"/>
    <w:rsid w:val="00DE18B1"/>
    <w:rsid w:val="00DE34A3"/>
    <w:rsid w:val="00DF1875"/>
    <w:rsid w:val="00DF786F"/>
    <w:rsid w:val="00DF7F33"/>
    <w:rsid w:val="00E037B1"/>
    <w:rsid w:val="00E03D38"/>
    <w:rsid w:val="00E03EA0"/>
    <w:rsid w:val="00E128B5"/>
    <w:rsid w:val="00E14062"/>
    <w:rsid w:val="00E15D2F"/>
    <w:rsid w:val="00E173C0"/>
    <w:rsid w:val="00E17601"/>
    <w:rsid w:val="00E17F26"/>
    <w:rsid w:val="00E23884"/>
    <w:rsid w:val="00E24669"/>
    <w:rsid w:val="00E36384"/>
    <w:rsid w:val="00E41363"/>
    <w:rsid w:val="00E43F12"/>
    <w:rsid w:val="00E44067"/>
    <w:rsid w:val="00E44BDC"/>
    <w:rsid w:val="00E519F7"/>
    <w:rsid w:val="00E52AF3"/>
    <w:rsid w:val="00E56E12"/>
    <w:rsid w:val="00E61933"/>
    <w:rsid w:val="00E6287C"/>
    <w:rsid w:val="00E63528"/>
    <w:rsid w:val="00E66279"/>
    <w:rsid w:val="00E706DF"/>
    <w:rsid w:val="00E720E1"/>
    <w:rsid w:val="00E7451B"/>
    <w:rsid w:val="00E86D26"/>
    <w:rsid w:val="00E86E3A"/>
    <w:rsid w:val="00E91D79"/>
    <w:rsid w:val="00E92721"/>
    <w:rsid w:val="00E9330B"/>
    <w:rsid w:val="00E9732D"/>
    <w:rsid w:val="00E97A69"/>
    <w:rsid w:val="00EA24E3"/>
    <w:rsid w:val="00EA5D27"/>
    <w:rsid w:val="00EC06BE"/>
    <w:rsid w:val="00EC1236"/>
    <w:rsid w:val="00EC4582"/>
    <w:rsid w:val="00ED1F5A"/>
    <w:rsid w:val="00ED3B7C"/>
    <w:rsid w:val="00EE12DA"/>
    <w:rsid w:val="00EE20BD"/>
    <w:rsid w:val="00EE2BD1"/>
    <w:rsid w:val="00EE362F"/>
    <w:rsid w:val="00EE474F"/>
    <w:rsid w:val="00EE4FEB"/>
    <w:rsid w:val="00EF02C4"/>
    <w:rsid w:val="00EF3D42"/>
    <w:rsid w:val="00EF6709"/>
    <w:rsid w:val="00F0646A"/>
    <w:rsid w:val="00F10C3A"/>
    <w:rsid w:val="00F11B01"/>
    <w:rsid w:val="00F1293B"/>
    <w:rsid w:val="00F21705"/>
    <w:rsid w:val="00F22A77"/>
    <w:rsid w:val="00F24475"/>
    <w:rsid w:val="00F27C1E"/>
    <w:rsid w:val="00F31E87"/>
    <w:rsid w:val="00F32366"/>
    <w:rsid w:val="00F323B9"/>
    <w:rsid w:val="00F438FD"/>
    <w:rsid w:val="00F459C3"/>
    <w:rsid w:val="00F47B4D"/>
    <w:rsid w:val="00F55B85"/>
    <w:rsid w:val="00F5652D"/>
    <w:rsid w:val="00F57CA7"/>
    <w:rsid w:val="00F637BC"/>
    <w:rsid w:val="00F713F5"/>
    <w:rsid w:val="00F71CA2"/>
    <w:rsid w:val="00F737B4"/>
    <w:rsid w:val="00F76395"/>
    <w:rsid w:val="00F7642C"/>
    <w:rsid w:val="00F766B5"/>
    <w:rsid w:val="00F803C2"/>
    <w:rsid w:val="00F82CFD"/>
    <w:rsid w:val="00F83749"/>
    <w:rsid w:val="00F85CCA"/>
    <w:rsid w:val="00F9206B"/>
    <w:rsid w:val="00F944E8"/>
    <w:rsid w:val="00FB0CFA"/>
    <w:rsid w:val="00FB2273"/>
    <w:rsid w:val="00FB5ED5"/>
    <w:rsid w:val="00FB70B3"/>
    <w:rsid w:val="00FB7544"/>
    <w:rsid w:val="00FC4653"/>
    <w:rsid w:val="00FD04A7"/>
    <w:rsid w:val="00FD41F9"/>
    <w:rsid w:val="00FE6999"/>
    <w:rsid w:val="00FF5216"/>
    <w:rsid w:val="00FF592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57C1FC"/>
  <w15:chartTrackingRefBased/>
  <w15:docId w15:val="{A0198CFD-A9C7-4F3A-835D-A3166700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2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C7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B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F2B"/>
  </w:style>
  <w:style w:type="paragraph" w:styleId="Zpat">
    <w:name w:val="footer"/>
    <w:basedOn w:val="Normln"/>
    <w:link w:val="ZpatChar"/>
    <w:uiPriority w:val="99"/>
    <w:unhideWhenUsed/>
    <w:rsid w:val="007B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F2B"/>
  </w:style>
  <w:style w:type="character" w:customStyle="1" w:styleId="Nadpis3Char">
    <w:name w:val="Nadpis 3 Char"/>
    <w:basedOn w:val="Standardnpsmoodstavce"/>
    <w:link w:val="Nadpis3"/>
    <w:uiPriority w:val="9"/>
    <w:rsid w:val="003F22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20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5AD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3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42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42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428D"/>
    <w:rPr>
      <w:vertAlign w:val="superscript"/>
    </w:rPr>
  </w:style>
  <w:style w:type="character" w:styleId="Siln">
    <w:name w:val="Strong"/>
    <w:basedOn w:val="Standardnpsmoodstavce"/>
    <w:uiPriority w:val="22"/>
    <w:qFormat/>
    <w:rsid w:val="00F5652D"/>
    <w:rPr>
      <w:b/>
      <w:bCs/>
    </w:rPr>
  </w:style>
  <w:style w:type="paragraph" w:customStyle="1" w:styleId="Default">
    <w:name w:val="Default"/>
    <w:rsid w:val="005172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E2B09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63F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3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C14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A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A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A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A5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7C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E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encenelec.eu" TargetMode="Externa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tandardsbuildtrust.eu/" TargetMode="Externa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cenelec.eu/dyn/www/f?p=web:5" TargetMode="External"/><Relationship Id="rId10" Type="http://schemas.openxmlformats.org/officeDocument/2006/relationships/footer" Target="footer1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tandards.cen.eu/dyn/www/f?p=CENWEB:5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2BDFE5-37F2-461E-91EE-55CB3F2273F2}" type="doc">
      <dgm:prSet loTypeId="urn:microsoft.com/office/officeart/2005/8/layout/chevron2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A8001B21-C2E6-447D-BFED-286ED66E08BE}">
      <dgm:prSet phldrT="[Text]"/>
      <dgm:spPr/>
      <dgm:t>
        <a:bodyPr/>
        <a:lstStyle/>
        <a:p>
          <a:pPr algn="ctr"/>
          <a:r>
            <a:rPr lang="en-US" dirty="0"/>
            <a:t>Dec. - Feb. 2020</a:t>
          </a:r>
        </a:p>
      </dgm:t>
    </dgm:pt>
    <dgm:pt modelId="{E4802AAD-4D50-49E8-ADC1-096FA9576694}" type="parTrans" cxnId="{5F1B7613-73B8-4977-8D68-C5390832F8B3}">
      <dgm:prSet/>
      <dgm:spPr/>
      <dgm:t>
        <a:bodyPr/>
        <a:lstStyle/>
        <a:p>
          <a:pPr algn="just"/>
          <a:endParaRPr lang="en-US"/>
        </a:p>
      </dgm:t>
    </dgm:pt>
    <dgm:pt modelId="{F35B1697-C2D7-450C-B760-B08DE7D63823}" type="sibTrans" cxnId="{5F1B7613-73B8-4977-8D68-C5390832F8B3}">
      <dgm:prSet/>
      <dgm:spPr/>
      <dgm:t>
        <a:bodyPr/>
        <a:lstStyle/>
        <a:p>
          <a:pPr algn="just"/>
          <a:endParaRPr lang="en-US"/>
        </a:p>
      </dgm:t>
    </dgm:pt>
    <dgm:pt modelId="{7EC3DF38-A64D-4B42-8E4A-DD3C70301F62}">
      <dgm:prSet phldrT="[Text]"/>
      <dgm:spPr/>
      <dgm:t>
        <a:bodyPr/>
        <a:lstStyle/>
        <a:p>
          <a:pPr algn="just"/>
          <a:r>
            <a:rPr lang="en-US" dirty="0"/>
            <a:t> </a:t>
          </a:r>
          <a:r>
            <a:rPr lang="en-US" dirty="0" smtClean="0"/>
            <a:t>Members </a:t>
          </a:r>
          <a:r>
            <a:rPr lang="en-US" dirty="0"/>
            <a:t>consult their stakeholders at national level</a:t>
          </a:r>
        </a:p>
      </dgm:t>
    </dgm:pt>
    <dgm:pt modelId="{5DFE7C7C-264E-4DAC-A269-5F553DBC5B21}" type="parTrans" cxnId="{B8EC7C6E-6D97-4836-8D35-AE0F1ADB2BDC}">
      <dgm:prSet/>
      <dgm:spPr/>
      <dgm:t>
        <a:bodyPr/>
        <a:lstStyle/>
        <a:p>
          <a:pPr algn="just"/>
          <a:endParaRPr lang="en-US"/>
        </a:p>
      </dgm:t>
    </dgm:pt>
    <dgm:pt modelId="{3B2222C8-C6ED-44A2-9FF5-9B4D949167E5}" type="sibTrans" cxnId="{B8EC7C6E-6D97-4836-8D35-AE0F1ADB2BDC}">
      <dgm:prSet/>
      <dgm:spPr/>
      <dgm:t>
        <a:bodyPr/>
        <a:lstStyle/>
        <a:p>
          <a:pPr algn="just"/>
          <a:endParaRPr lang="en-US"/>
        </a:p>
      </dgm:t>
    </dgm:pt>
    <dgm:pt modelId="{A1D4709F-C782-4FBE-942D-A4E5B5424C67}">
      <dgm:prSet phldrT="[Text]"/>
      <dgm:spPr/>
      <dgm:t>
        <a:bodyPr/>
        <a:lstStyle/>
        <a:p>
          <a:pPr algn="ctr"/>
          <a:r>
            <a:rPr lang="en-US" dirty="0"/>
            <a:t>June 2020</a:t>
          </a:r>
        </a:p>
      </dgm:t>
    </dgm:pt>
    <dgm:pt modelId="{338CBAA1-63E1-41E8-B364-16126B1E461A}" type="parTrans" cxnId="{BAC43A9A-2DEA-4AAD-A317-7AEA2E73C263}">
      <dgm:prSet/>
      <dgm:spPr/>
      <dgm:t>
        <a:bodyPr/>
        <a:lstStyle/>
        <a:p>
          <a:pPr algn="just"/>
          <a:endParaRPr lang="en-US"/>
        </a:p>
      </dgm:t>
    </dgm:pt>
    <dgm:pt modelId="{D07AEF32-6255-4680-9A6D-21AE054EA8AA}" type="sibTrans" cxnId="{BAC43A9A-2DEA-4AAD-A317-7AEA2E73C263}">
      <dgm:prSet/>
      <dgm:spPr/>
      <dgm:t>
        <a:bodyPr/>
        <a:lstStyle/>
        <a:p>
          <a:pPr algn="just"/>
          <a:endParaRPr lang="en-US"/>
        </a:p>
      </dgm:t>
    </dgm:pt>
    <dgm:pt modelId="{33CA66EE-15EA-40F8-BA15-917E1C11727C}">
      <dgm:prSet phldrT="[Text]"/>
      <dgm:spPr/>
      <dgm:t>
        <a:bodyPr/>
        <a:lstStyle/>
        <a:p>
          <a:pPr algn="just"/>
          <a:r>
            <a:rPr lang="en-US" dirty="0"/>
            <a:t> </a:t>
          </a:r>
          <a:r>
            <a:rPr lang="en-US" dirty="0" smtClean="0"/>
            <a:t>CCMC consults European and international stakeholders</a:t>
          </a:r>
          <a:endParaRPr lang="en-US" dirty="0"/>
        </a:p>
      </dgm:t>
    </dgm:pt>
    <dgm:pt modelId="{876289B9-208E-43C0-BCFA-2F254EEE9DC6}" type="parTrans" cxnId="{B8FFB06F-5616-4692-A933-F40FA0B6F8F2}">
      <dgm:prSet/>
      <dgm:spPr/>
      <dgm:t>
        <a:bodyPr/>
        <a:lstStyle/>
        <a:p>
          <a:pPr algn="just"/>
          <a:endParaRPr lang="en-US"/>
        </a:p>
      </dgm:t>
    </dgm:pt>
    <dgm:pt modelId="{E924DC68-ACC4-4E2C-93C6-94AFFC015528}" type="sibTrans" cxnId="{B8FFB06F-5616-4692-A933-F40FA0B6F8F2}">
      <dgm:prSet/>
      <dgm:spPr/>
      <dgm:t>
        <a:bodyPr/>
        <a:lstStyle/>
        <a:p>
          <a:pPr algn="just"/>
          <a:endParaRPr lang="en-US"/>
        </a:p>
      </dgm:t>
    </dgm:pt>
    <dgm:pt modelId="{2A2334D0-4BDD-4871-8120-C3E27A5477DD}">
      <dgm:prSet phldrT="[Text]"/>
      <dgm:spPr/>
      <dgm:t>
        <a:bodyPr/>
        <a:lstStyle/>
        <a:p>
          <a:pPr algn="just"/>
          <a:r>
            <a:rPr lang="en-US" dirty="0"/>
            <a:t> Formal approval of CEN and CENELEC Strategy 2030 at the AGs in Vienna</a:t>
          </a:r>
        </a:p>
      </dgm:t>
    </dgm:pt>
    <dgm:pt modelId="{14F5FE5B-8857-4A34-8878-C0C499897EAD}" type="parTrans" cxnId="{8E3DDA9F-52DB-4BE0-8B4B-49101D8A600F}">
      <dgm:prSet/>
      <dgm:spPr/>
      <dgm:t>
        <a:bodyPr/>
        <a:lstStyle/>
        <a:p>
          <a:pPr algn="just"/>
          <a:endParaRPr lang="en-US"/>
        </a:p>
      </dgm:t>
    </dgm:pt>
    <dgm:pt modelId="{B97BED05-70E5-44D0-A815-44B84ADDDFBB}" type="sibTrans" cxnId="{8E3DDA9F-52DB-4BE0-8B4B-49101D8A600F}">
      <dgm:prSet/>
      <dgm:spPr/>
      <dgm:t>
        <a:bodyPr/>
        <a:lstStyle/>
        <a:p>
          <a:pPr algn="just"/>
          <a:endParaRPr lang="en-US"/>
        </a:p>
      </dgm:t>
    </dgm:pt>
    <dgm:pt modelId="{F8C8A742-5A3C-4751-9090-29DF6AE24B62}">
      <dgm:prSet phldrT="[Text]"/>
      <dgm:spPr/>
      <dgm:t>
        <a:bodyPr/>
        <a:lstStyle/>
        <a:p>
          <a:pPr algn="ctr"/>
          <a:r>
            <a:rPr lang="en-US" dirty="0"/>
            <a:t>22 April 2020</a:t>
          </a:r>
        </a:p>
      </dgm:t>
    </dgm:pt>
    <dgm:pt modelId="{985BF10D-A641-4939-9A81-511448114D9F}" type="parTrans" cxnId="{44D27E7E-76B0-4550-B1FE-24DA7A5EF051}">
      <dgm:prSet/>
      <dgm:spPr/>
      <dgm:t>
        <a:bodyPr/>
        <a:lstStyle/>
        <a:p>
          <a:pPr algn="just"/>
          <a:endParaRPr lang="en-US"/>
        </a:p>
      </dgm:t>
    </dgm:pt>
    <dgm:pt modelId="{9A9B2606-577F-4A43-98C0-39B86E2AD4EB}" type="sibTrans" cxnId="{44D27E7E-76B0-4550-B1FE-24DA7A5EF051}">
      <dgm:prSet/>
      <dgm:spPr/>
      <dgm:t>
        <a:bodyPr/>
        <a:lstStyle/>
        <a:p>
          <a:pPr algn="just"/>
          <a:endParaRPr lang="en-US"/>
        </a:p>
      </dgm:t>
    </dgm:pt>
    <dgm:pt modelId="{8B81C521-3186-4E4F-A1CF-AD0B4540A7F5}">
      <dgm:prSet phldrT="[Text]"/>
      <dgm:spPr/>
      <dgm:t>
        <a:bodyPr/>
        <a:lstStyle/>
        <a:p>
          <a:pPr algn="just"/>
          <a:r>
            <a:rPr lang="en-US" dirty="0"/>
            <a:t> </a:t>
          </a:r>
          <a:r>
            <a:rPr lang="en-US" dirty="0" smtClean="0"/>
            <a:t>High-Level Multi-Stakeholder Event</a:t>
          </a:r>
          <a:endParaRPr lang="en-US" dirty="0"/>
        </a:p>
      </dgm:t>
    </dgm:pt>
    <dgm:pt modelId="{4B07D33D-DEF1-407B-A653-C90110D15B97}" type="parTrans" cxnId="{B1886BDE-AF67-407D-A57C-EDE9226D6EC1}">
      <dgm:prSet/>
      <dgm:spPr/>
      <dgm:t>
        <a:bodyPr/>
        <a:lstStyle/>
        <a:p>
          <a:pPr algn="just"/>
          <a:endParaRPr lang="en-US"/>
        </a:p>
      </dgm:t>
    </dgm:pt>
    <dgm:pt modelId="{A28380A7-6CEC-4881-A5FC-BE3091F0D4F1}" type="sibTrans" cxnId="{B1886BDE-AF67-407D-A57C-EDE9226D6EC1}">
      <dgm:prSet/>
      <dgm:spPr/>
      <dgm:t>
        <a:bodyPr/>
        <a:lstStyle/>
        <a:p>
          <a:pPr algn="just"/>
          <a:endParaRPr lang="en-US"/>
        </a:p>
      </dgm:t>
    </dgm:pt>
    <dgm:pt modelId="{153EA2C3-4D5F-4188-8A65-3B6E2DFA326B}">
      <dgm:prSet phldrT="[Text]"/>
      <dgm:spPr/>
      <dgm:t>
        <a:bodyPr/>
        <a:lstStyle/>
        <a:p>
          <a:pPr algn="ctr"/>
          <a:r>
            <a:rPr lang="en-US" dirty="0"/>
            <a:t>23 March 2020</a:t>
          </a:r>
        </a:p>
      </dgm:t>
    </dgm:pt>
    <dgm:pt modelId="{FD0D2D04-C19A-4C02-9562-FD3823F6EE02}" type="parTrans" cxnId="{FA6C3452-EB19-43D7-B8E5-D6681D739038}">
      <dgm:prSet/>
      <dgm:spPr/>
      <dgm:t>
        <a:bodyPr/>
        <a:lstStyle/>
        <a:p>
          <a:pPr algn="just"/>
          <a:endParaRPr lang="en-US"/>
        </a:p>
      </dgm:t>
    </dgm:pt>
    <dgm:pt modelId="{D35E70C1-BD72-4CC8-BDFD-25E7A68046F0}" type="sibTrans" cxnId="{FA6C3452-EB19-43D7-B8E5-D6681D739038}">
      <dgm:prSet/>
      <dgm:spPr/>
      <dgm:t>
        <a:bodyPr/>
        <a:lstStyle/>
        <a:p>
          <a:pPr algn="just"/>
          <a:endParaRPr lang="en-US"/>
        </a:p>
      </dgm:t>
    </dgm:pt>
    <dgm:pt modelId="{FB3F3D53-0EE2-4DBC-B01F-11D236E86625}">
      <dgm:prSet phldrT="[Text]"/>
      <dgm:spPr/>
      <dgm:t>
        <a:bodyPr/>
        <a:lstStyle/>
        <a:p>
          <a:pPr algn="just"/>
          <a:r>
            <a:rPr lang="en-US" dirty="0"/>
            <a:t>Members-only </a:t>
          </a:r>
          <a:r>
            <a:rPr lang="en-US" dirty="0" smtClean="0"/>
            <a:t>workshop to revise draft</a:t>
          </a:r>
          <a:endParaRPr lang="en-US" dirty="0"/>
        </a:p>
      </dgm:t>
    </dgm:pt>
    <dgm:pt modelId="{9618286B-7478-45F3-A7A5-A530F9D868AA}" type="parTrans" cxnId="{AEF44468-8BF8-47C6-9E7E-C6282C63675A}">
      <dgm:prSet/>
      <dgm:spPr/>
      <dgm:t>
        <a:bodyPr/>
        <a:lstStyle/>
        <a:p>
          <a:pPr algn="just"/>
          <a:endParaRPr lang="en-US"/>
        </a:p>
      </dgm:t>
    </dgm:pt>
    <dgm:pt modelId="{3FF16EE8-86BB-4639-A231-77AB5542F29C}" type="sibTrans" cxnId="{AEF44468-8BF8-47C6-9E7E-C6282C63675A}">
      <dgm:prSet/>
      <dgm:spPr/>
      <dgm:t>
        <a:bodyPr/>
        <a:lstStyle/>
        <a:p>
          <a:pPr algn="just"/>
          <a:endParaRPr lang="en-US"/>
        </a:p>
      </dgm:t>
    </dgm:pt>
    <dgm:pt modelId="{C09F3365-139A-4A3E-B079-303FCB7C8BB3}" type="pres">
      <dgm:prSet presAssocID="{9D2BDFE5-37F2-461E-91EE-55CB3F2273F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8EEF06E-442E-494B-B05F-85126C22219A}" type="pres">
      <dgm:prSet presAssocID="{A8001B21-C2E6-447D-BFED-286ED66E08BE}" presName="composite" presStyleCnt="0"/>
      <dgm:spPr/>
      <dgm:t>
        <a:bodyPr/>
        <a:lstStyle/>
        <a:p>
          <a:endParaRPr lang="en-US"/>
        </a:p>
      </dgm:t>
    </dgm:pt>
    <dgm:pt modelId="{CAD94EFE-028D-4F86-922C-2D315A1F2008}" type="pres">
      <dgm:prSet presAssocID="{A8001B21-C2E6-447D-BFED-286ED66E08BE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088EB6-E5C2-4229-BDEF-FD15794959CB}" type="pres">
      <dgm:prSet presAssocID="{A8001B21-C2E6-447D-BFED-286ED66E08BE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09F4C6-F618-43C5-BF99-CCC1D0C5F4FF}" type="pres">
      <dgm:prSet presAssocID="{F35B1697-C2D7-450C-B760-B08DE7D63823}" presName="sp" presStyleCnt="0"/>
      <dgm:spPr/>
      <dgm:t>
        <a:bodyPr/>
        <a:lstStyle/>
        <a:p>
          <a:endParaRPr lang="en-US"/>
        </a:p>
      </dgm:t>
    </dgm:pt>
    <dgm:pt modelId="{053326F5-8724-4D1D-AF73-301DB85F3344}" type="pres">
      <dgm:prSet presAssocID="{153EA2C3-4D5F-4188-8A65-3B6E2DFA326B}" presName="composite" presStyleCnt="0"/>
      <dgm:spPr/>
      <dgm:t>
        <a:bodyPr/>
        <a:lstStyle/>
        <a:p>
          <a:endParaRPr lang="en-US"/>
        </a:p>
      </dgm:t>
    </dgm:pt>
    <dgm:pt modelId="{2952DA03-CE8A-42D9-B53B-FCD3D13FE74C}" type="pres">
      <dgm:prSet presAssocID="{153EA2C3-4D5F-4188-8A65-3B6E2DFA326B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C0251F-A0F1-4234-ACFC-CE62E2BB71AD}" type="pres">
      <dgm:prSet presAssocID="{153EA2C3-4D5F-4188-8A65-3B6E2DFA326B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0B3A29-814D-46FB-A8D1-BE618FE1A4E1}" type="pres">
      <dgm:prSet presAssocID="{D35E70C1-BD72-4CC8-BDFD-25E7A68046F0}" presName="sp" presStyleCnt="0"/>
      <dgm:spPr/>
      <dgm:t>
        <a:bodyPr/>
        <a:lstStyle/>
        <a:p>
          <a:endParaRPr lang="en-US"/>
        </a:p>
      </dgm:t>
    </dgm:pt>
    <dgm:pt modelId="{5CE0D8C6-5A39-4B90-A10B-D5778824F889}" type="pres">
      <dgm:prSet presAssocID="{F8C8A742-5A3C-4751-9090-29DF6AE24B62}" presName="composite" presStyleCnt="0"/>
      <dgm:spPr/>
      <dgm:t>
        <a:bodyPr/>
        <a:lstStyle/>
        <a:p>
          <a:endParaRPr lang="en-US"/>
        </a:p>
      </dgm:t>
    </dgm:pt>
    <dgm:pt modelId="{A5C10326-1A6E-41FE-A155-1335B42848CF}" type="pres">
      <dgm:prSet presAssocID="{F8C8A742-5A3C-4751-9090-29DF6AE24B6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C1FD34-A598-48A2-BB4E-2393CFF23C73}" type="pres">
      <dgm:prSet presAssocID="{F8C8A742-5A3C-4751-9090-29DF6AE24B6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0A543A-8207-4D91-915A-4E9DAEE25F12}" type="pres">
      <dgm:prSet presAssocID="{9A9B2606-577F-4A43-98C0-39B86E2AD4EB}" presName="sp" presStyleCnt="0"/>
      <dgm:spPr/>
      <dgm:t>
        <a:bodyPr/>
        <a:lstStyle/>
        <a:p>
          <a:endParaRPr lang="en-US"/>
        </a:p>
      </dgm:t>
    </dgm:pt>
    <dgm:pt modelId="{393F3954-E3F7-4F1D-B687-2451951C1979}" type="pres">
      <dgm:prSet presAssocID="{A1D4709F-C782-4FBE-942D-A4E5B5424C67}" presName="composite" presStyleCnt="0"/>
      <dgm:spPr/>
      <dgm:t>
        <a:bodyPr/>
        <a:lstStyle/>
        <a:p>
          <a:endParaRPr lang="en-US"/>
        </a:p>
      </dgm:t>
    </dgm:pt>
    <dgm:pt modelId="{419A58FA-1335-464C-BC70-60F120FEEA21}" type="pres">
      <dgm:prSet presAssocID="{A1D4709F-C782-4FBE-942D-A4E5B5424C67}" presName="parentText" presStyleLbl="alignNode1" presStyleIdx="3" presStyleCnt="4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063EA-37BB-4F39-9C9B-603A955DF205}" type="pres">
      <dgm:prSet presAssocID="{A1D4709F-C782-4FBE-942D-A4E5B5424C67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A6C3452-EB19-43D7-B8E5-D6681D739038}" srcId="{9D2BDFE5-37F2-461E-91EE-55CB3F2273F2}" destId="{153EA2C3-4D5F-4188-8A65-3B6E2DFA326B}" srcOrd="1" destOrd="0" parTransId="{FD0D2D04-C19A-4C02-9562-FD3823F6EE02}" sibTransId="{D35E70C1-BD72-4CC8-BDFD-25E7A68046F0}"/>
    <dgm:cxn modelId="{D7090165-4260-4671-B6C2-B6120E4D510B}" type="presOf" srcId="{9D2BDFE5-37F2-461E-91EE-55CB3F2273F2}" destId="{C09F3365-139A-4A3E-B079-303FCB7C8BB3}" srcOrd="0" destOrd="0" presId="urn:microsoft.com/office/officeart/2005/8/layout/chevron2"/>
    <dgm:cxn modelId="{1601A629-1D0A-490B-8927-3B594F302DCB}" type="presOf" srcId="{FB3F3D53-0EE2-4DBC-B01F-11D236E86625}" destId="{3CC0251F-A0F1-4234-ACFC-CE62E2BB71AD}" srcOrd="0" destOrd="0" presId="urn:microsoft.com/office/officeart/2005/8/layout/chevron2"/>
    <dgm:cxn modelId="{52FB1F44-096F-4E51-9117-0D46524DDB6E}" type="presOf" srcId="{A1D4709F-C782-4FBE-942D-A4E5B5424C67}" destId="{419A58FA-1335-464C-BC70-60F120FEEA21}" srcOrd="0" destOrd="0" presId="urn:microsoft.com/office/officeart/2005/8/layout/chevron2"/>
    <dgm:cxn modelId="{A0B22203-9D93-459D-B0F6-8754E1DA56A0}" type="presOf" srcId="{33CA66EE-15EA-40F8-BA15-917E1C11727C}" destId="{54088EB6-E5C2-4229-BDEF-FD15794959CB}" srcOrd="0" destOrd="1" presId="urn:microsoft.com/office/officeart/2005/8/layout/chevron2"/>
    <dgm:cxn modelId="{8649DFFF-E6BD-457E-AE51-8CD1A1CAE7A2}" type="presOf" srcId="{153EA2C3-4D5F-4188-8A65-3B6E2DFA326B}" destId="{2952DA03-CE8A-42D9-B53B-FCD3D13FE74C}" srcOrd="0" destOrd="0" presId="urn:microsoft.com/office/officeart/2005/8/layout/chevron2"/>
    <dgm:cxn modelId="{BAC43A9A-2DEA-4AAD-A317-7AEA2E73C263}" srcId="{9D2BDFE5-37F2-461E-91EE-55CB3F2273F2}" destId="{A1D4709F-C782-4FBE-942D-A4E5B5424C67}" srcOrd="3" destOrd="0" parTransId="{338CBAA1-63E1-41E8-B364-16126B1E461A}" sibTransId="{D07AEF32-6255-4680-9A6D-21AE054EA8AA}"/>
    <dgm:cxn modelId="{B8EC7C6E-6D97-4836-8D35-AE0F1ADB2BDC}" srcId="{A8001B21-C2E6-447D-BFED-286ED66E08BE}" destId="{7EC3DF38-A64D-4B42-8E4A-DD3C70301F62}" srcOrd="0" destOrd="0" parTransId="{5DFE7C7C-264E-4DAC-A269-5F553DBC5B21}" sibTransId="{3B2222C8-C6ED-44A2-9FF5-9B4D949167E5}"/>
    <dgm:cxn modelId="{AEF44468-8BF8-47C6-9E7E-C6282C63675A}" srcId="{153EA2C3-4D5F-4188-8A65-3B6E2DFA326B}" destId="{FB3F3D53-0EE2-4DBC-B01F-11D236E86625}" srcOrd="0" destOrd="0" parTransId="{9618286B-7478-45F3-A7A5-A530F9D868AA}" sibTransId="{3FF16EE8-86BB-4639-A231-77AB5542F29C}"/>
    <dgm:cxn modelId="{C34097A9-8D91-4A50-A651-600C39C2DF34}" type="presOf" srcId="{2A2334D0-4BDD-4871-8120-C3E27A5477DD}" destId="{D48063EA-37BB-4F39-9C9B-603A955DF205}" srcOrd="0" destOrd="0" presId="urn:microsoft.com/office/officeart/2005/8/layout/chevron2"/>
    <dgm:cxn modelId="{5A3AF361-6474-4B0C-BACE-A70E39E35F8C}" type="presOf" srcId="{F8C8A742-5A3C-4751-9090-29DF6AE24B62}" destId="{A5C10326-1A6E-41FE-A155-1335B42848CF}" srcOrd="0" destOrd="0" presId="urn:microsoft.com/office/officeart/2005/8/layout/chevron2"/>
    <dgm:cxn modelId="{AF96D7B9-0499-4199-85EE-00EE5321B529}" type="presOf" srcId="{8B81C521-3186-4E4F-A1CF-AD0B4540A7F5}" destId="{0BC1FD34-A598-48A2-BB4E-2393CFF23C73}" srcOrd="0" destOrd="0" presId="urn:microsoft.com/office/officeart/2005/8/layout/chevron2"/>
    <dgm:cxn modelId="{5E1AB4DD-C75B-41B9-A67E-50D102AA3D69}" type="presOf" srcId="{7EC3DF38-A64D-4B42-8E4A-DD3C70301F62}" destId="{54088EB6-E5C2-4229-BDEF-FD15794959CB}" srcOrd="0" destOrd="0" presId="urn:microsoft.com/office/officeart/2005/8/layout/chevron2"/>
    <dgm:cxn modelId="{5F1B7613-73B8-4977-8D68-C5390832F8B3}" srcId="{9D2BDFE5-37F2-461E-91EE-55CB3F2273F2}" destId="{A8001B21-C2E6-447D-BFED-286ED66E08BE}" srcOrd="0" destOrd="0" parTransId="{E4802AAD-4D50-49E8-ADC1-096FA9576694}" sibTransId="{F35B1697-C2D7-450C-B760-B08DE7D63823}"/>
    <dgm:cxn modelId="{8E3DDA9F-52DB-4BE0-8B4B-49101D8A600F}" srcId="{A1D4709F-C782-4FBE-942D-A4E5B5424C67}" destId="{2A2334D0-4BDD-4871-8120-C3E27A5477DD}" srcOrd="0" destOrd="0" parTransId="{14F5FE5B-8857-4A34-8878-C0C499897EAD}" sibTransId="{B97BED05-70E5-44D0-A815-44B84ADDDFBB}"/>
    <dgm:cxn modelId="{B4A3A77F-93D9-4484-ABA0-F6395F018440}" type="presOf" srcId="{A8001B21-C2E6-447D-BFED-286ED66E08BE}" destId="{CAD94EFE-028D-4F86-922C-2D315A1F2008}" srcOrd="0" destOrd="0" presId="urn:microsoft.com/office/officeart/2005/8/layout/chevron2"/>
    <dgm:cxn modelId="{B8FFB06F-5616-4692-A933-F40FA0B6F8F2}" srcId="{A8001B21-C2E6-447D-BFED-286ED66E08BE}" destId="{33CA66EE-15EA-40F8-BA15-917E1C11727C}" srcOrd="1" destOrd="0" parTransId="{876289B9-208E-43C0-BCFA-2F254EEE9DC6}" sibTransId="{E924DC68-ACC4-4E2C-93C6-94AFFC015528}"/>
    <dgm:cxn modelId="{B1886BDE-AF67-407D-A57C-EDE9226D6EC1}" srcId="{F8C8A742-5A3C-4751-9090-29DF6AE24B62}" destId="{8B81C521-3186-4E4F-A1CF-AD0B4540A7F5}" srcOrd="0" destOrd="0" parTransId="{4B07D33D-DEF1-407B-A653-C90110D15B97}" sibTransId="{A28380A7-6CEC-4881-A5FC-BE3091F0D4F1}"/>
    <dgm:cxn modelId="{44D27E7E-76B0-4550-B1FE-24DA7A5EF051}" srcId="{9D2BDFE5-37F2-461E-91EE-55CB3F2273F2}" destId="{F8C8A742-5A3C-4751-9090-29DF6AE24B62}" srcOrd="2" destOrd="0" parTransId="{985BF10D-A641-4939-9A81-511448114D9F}" sibTransId="{9A9B2606-577F-4A43-98C0-39B86E2AD4EB}"/>
    <dgm:cxn modelId="{7463E272-705D-4C83-9D39-FEE7639F2747}" type="presParOf" srcId="{C09F3365-139A-4A3E-B079-303FCB7C8BB3}" destId="{38EEF06E-442E-494B-B05F-85126C22219A}" srcOrd="0" destOrd="0" presId="urn:microsoft.com/office/officeart/2005/8/layout/chevron2"/>
    <dgm:cxn modelId="{02BA3AF8-0679-4E83-B5BC-9F6BF536B919}" type="presParOf" srcId="{38EEF06E-442E-494B-B05F-85126C22219A}" destId="{CAD94EFE-028D-4F86-922C-2D315A1F2008}" srcOrd="0" destOrd="0" presId="urn:microsoft.com/office/officeart/2005/8/layout/chevron2"/>
    <dgm:cxn modelId="{BFC1FB28-5136-4ADB-B1E5-912092D1C98D}" type="presParOf" srcId="{38EEF06E-442E-494B-B05F-85126C22219A}" destId="{54088EB6-E5C2-4229-BDEF-FD15794959CB}" srcOrd="1" destOrd="0" presId="urn:microsoft.com/office/officeart/2005/8/layout/chevron2"/>
    <dgm:cxn modelId="{AE7ACF5E-E94A-4CCB-9584-1F9A7D7F7C82}" type="presParOf" srcId="{C09F3365-139A-4A3E-B079-303FCB7C8BB3}" destId="{3E09F4C6-F618-43C5-BF99-CCC1D0C5F4FF}" srcOrd="1" destOrd="0" presId="urn:microsoft.com/office/officeart/2005/8/layout/chevron2"/>
    <dgm:cxn modelId="{17B15881-A9F1-4748-AC57-C91FC9D2E463}" type="presParOf" srcId="{C09F3365-139A-4A3E-B079-303FCB7C8BB3}" destId="{053326F5-8724-4D1D-AF73-301DB85F3344}" srcOrd="2" destOrd="0" presId="urn:microsoft.com/office/officeart/2005/8/layout/chevron2"/>
    <dgm:cxn modelId="{15BB3D82-26EF-4CF8-8819-08FF34AE139A}" type="presParOf" srcId="{053326F5-8724-4D1D-AF73-301DB85F3344}" destId="{2952DA03-CE8A-42D9-B53B-FCD3D13FE74C}" srcOrd="0" destOrd="0" presId="urn:microsoft.com/office/officeart/2005/8/layout/chevron2"/>
    <dgm:cxn modelId="{EF09867C-6BE7-497E-8581-273523EF8C03}" type="presParOf" srcId="{053326F5-8724-4D1D-AF73-301DB85F3344}" destId="{3CC0251F-A0F1-4234-ACFC-CE62E2BB71AD}" srcOrd="1" destOrd="0" presId="urn:microsoft.com/office/officeart/2005/8/layout/chevron2"/>
    <dgm:cxn modelId="{5C2D235A-730D-407B-A72A-08CD2F5337C0}" type="presParOf" srcId="{C09F3365-139A-4A3E-B079-303FCB7C8BB3}" destId="{8E0B3A29-814D-46FB-A8D1-BE618FE1A4E1}" srcOrd="3" destOrd="0" presId="urn:microsoft.com/office/officeart/2005/8/layout/chevron2"/>
    <dgm:cxn modelId="{A61EAE1F-69A2-4391-ABFB-CDA55C6EA642}" type="presParOf" srcId="{C09F3365-139A-4A3E-B079-303FCB7C8BB3}" destId="{5CE0D8C6-5A39-4B90-A10B-D5778824F889}" srcOrd="4" destOrd="0" presId="urn:microsoft.com/office/officeart/2005/8/layout/chevron2"/>
    <dgm:cxn modelId="{EC0D74DB-4909-47F2-AC8F-07EFEE4F5CA6}" type="presParOf" srcId="{5CE0D8C6-5A39-4B90-A10B-D5778824F889}" destId="{A5C10326-1A6E-41FE-A155-1335B42848CF}" srcOrd="0" destOrd="0" presId="urn:microsoft.com/office/officeart/2005/8/layout/chevron2"/>
    <dgm:cxn modelId="{64644B08-CE1C-430E-9658-FE7863FD36E6}" type="presParOf" srcId="{5CE0D8C6-5A39-4B90-A10B-D5778824F889}" destId="{0BC1FD34-A598-48A2-BB4E-2393CFF23C73}" srcOrd="1" destOrd="0" presId="urn:microsoft.com/office/officeart/2005/8/layout/chevron2"/>
    <dgm:cxn modelId="{FE61C816-DB1E-4937-9C1A-EF17B0B9193B}" type="presParOf" srcId="{C09F3365-139A-4A3E-B079-303FCB7C8BB3}" destId="{430A543A-8207-4D91-915A-4E9DAEE25F12}" srcOrd="5" destOrd="0" presId="urn:microsoft.com/office/officeart/2005/8/layout/chevron2"/>
    <dgm:cxn modelId="{3D254B87-8963-4292-9172-9036614158DB}" type="presParOf" srcId="{C09F3365-139A-4A3E-B079-303FCB7C8BB3}" destId="{393F3954-E3F7-4F1D-B687-2451951C1979}" srcOrd="6" destOrd="0" presId="urn:microsoft.com/office/officeart/2005/8/layout/chevron2"/>
    <dgm:cxn modelId="{D7E90B2A-9ABD-48E9-99B7-6ADDEA5E79A0}" type="presParOf" srcId="{393F3954-E3F7-4F1D-B687-2451951C1979}" destId="{419A58FA-1335-464C-BC70-60F120FEEA21}" srcOrd="0" destOrd="0" presId="urn:microsoft.com/office/officeart/2005/8/layout/chevron2"/>
    <dgm:cxn modelId="{6E4394C4-D98A-448E-9A6A-0C0B194D6B85}" type="presParOf" srcId="{393F3954-E3F7-4F1D-B687-2451951C1979}" destId="{D48063EA-37BB-4F39-9C9B-603A955DF20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D94EFE-028D-4F86-922C-2D315A1F2008}">
      <dsp:nvSpPr>
        <dsp:cNvPr id="0" name=""/>
        <dsp:cNvSpPr/>
      </dsp:nvSpPr>
      <dsp:spPr>
        <a:xfrm rot="5400000">
          <a:off x="-117900" y="119073"/>
          <a:ext cx="786005" cy="55020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Dec. - Feb. 2020</a:t>
          </a:r>
        </a:p>
      </dsp:txBody>
      <dsp:txXfrm rot="-5400000">
        <a:off x="2" y="276274"/>
        <a:ext cx="550203" cy="235802"/>
      </dsp:txXfrm>
    </dsp:sp>
    <dsp:sp modelId="{54088EB6-E5C2-4229-BDEF-FD15794959CB}">
      <dsp:nvSpPr>
        <dsp:cNvPr id="0" name=""/>
        <dsp:cNvSpPr/>
      </dsp:nvSpPr>
      <dsp:spPr>
        <a:xfrm rot="5400000">
          <a:off x="2885405" y="-2334028"/>
          <a:ext cx="510903" cy="51813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 dirty="0"/>
            <a:t> </a:t>
          </a:r>
          <a:r>
            <a:rPr lang="en-US" sz="1300" kern="1200" dirty="0" smtClean="0"/>
            <a:t>Members </a:t>
          </a:r>
          <a:r>
            <a:rPr lang="en-US" sz="1300" kern="1200" dirty="0"/>
            <a:t>consult their stakeholders at national level</a:t>
          </a:r>
        </a:p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 dirty="0"/>
            <a:t> </a:t>
          </a:r>
          <a:r>
            <a:rPr lang="en-US" sz="1300" kern="1200" dirty="0" smtClean="0"/>
            <a:t>CCMC consults European and international stakeholders</a:t>
          </a:r>
          <a:endParaRPr lang="en-US" sz="1300" kern="1200" dirty="0"/>
        </a:p>
      </dsp:txBody>
      <dsp:txXfrm rot="-5400000">
        <a:off x="550204" y="26113"/>
        <a:ext cx="5156366" cy="461023"/>
      </dsp:txXfrm>
    </dsp:sp>
    <dsp:sp modelId="{2952DA03-CE8A-42D9-B53B-FCD3D13FE74C}">
      <dsp:nvSpPr>
        <dsp:cNvPr id="0" name=""/>
        <dsp:cNvSpPr/>
      </dsp:nvSpPr>
      <dsp:spPr>
        <a:xfrm rot="5400000">
          <a:off x="-117900" y="747618"/>
          <a:ext cx="786005" cy="550203"/>
        </a:xfrm>
        <a:prstGeom prst="chevron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23 March 2020</a:t>
          </a:r>
        </a:p>
      </dsp:txBody>
      <dsp:txXfrm rot="-5400000">
        <a:off x="2" y="904819"/>
        <a:ext cx="550203" cy="235802"/>
      </dsp:txXfrm>
    </dsp:sp>
    <dsp:sp modelId="{3CC0251F-A0F1-4234-ACFC-CE62E2BB71AD}">
      <dsp:nvSpPr>
        <dsp:cNvPr id="0" name=""/>
        <dsp:cNvSpPr/>
      </dsp:nvSpPr>
      <dsp:spPr>
        <a:xfrm rot="5400000">
          <a:off x="2885405" y="-1705483"/>
          <a:ext cx="510903" cy="51813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 dirty="0"/>
            <a:t>Members-only </a:t>
          </a:r>
          <a:r>
            <a:rPr lang="en-US" sz="1300" kern="1200" dirty="0" smtClean="0"/>
            <a:t>workshop to revise draft</a:t>
          </a:r>
          <a:endParaRPr lang="en-US" sz="1300" kern="1200" dirty="0"/>
        </a:p>
      </dsp:txBody>
      <dsp:txXfrm rot="-5400000">
        <a:off x="550204" y="654658"/>
        <a:ext cx="5156366" cy="461023"/>
      </dsp:txXfrm>
    </dsp:sp>
    <dsp:sp modelId="{A5C10326-1A6E-41FE-A155-1335B42848CF}">
      <dsp:nvSpPr>
        <dsp:cNvPr id="0" name=""/>
        <dsp:cNvSpPr/>
      </dsp:nvSpPr>
      <dsp:spPr>
        <a:xfrm rot="5400000">
          <a:off x="-117900" y="1376162"/>
          <a:ext cx="786005" cy="550203"/>
        </a:xfrm>
        <a:prstGeom prst="chevron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22 April 2020</a:t>
          </a:r>
        </a:p>
      </dsp:txBody>
      <dsp:txXfrm rot="-5400000">
        <a:off x="2" y="1533363"/>
        <a:ext cx="550203" cy="235802"/>
      </dsp:txXfrm>
    </dsp:sp>
    <dsp:sp modelId="{0BC1FD34-A598-48A2-BB4E-2393CFF23C73}">
      <dsp:nvSpPr>
        <dsp:cNvPr id="0" name=""/>
        <dsp:cNvSpPr/>
      </dsp:nvSpPr>
      <dsp:spPr>
        <a:xfrm rot="5400000">
          <a:off x="2885405" y="-1076939"/>
          <a:ext cx="510903" cy="51813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 dirty="0"/>
            <a:t> </a:t>
          </a:r>
          <a:r>
            <a:rPr lang="en-US" sz="1300" kern="1200" dirty="0" smtClean="0"/>
            <a:t>High-Level Multi-Stakeholder Event</a:t>
          </a:r>
          <a:endParaRPr lang="en-US" sz="1300" kern="1200" dirty="0"/>
        </a:p>
      </dsp:txBody>
      <dsp:txXfrm rot="-5400000">
        <a:off x="550204" y="1283202"/>
        <a:ext cx="5156366" cy="461023"/>
      </dsp:txXfrm>
    </dsp:sp>
    <dsp:sp modelId="{419A58FA-1335-464C-BC70-60F120FEEA21}">
      <dsp:nvSpPr>
        <dsp:cNvPr id="0" name=""/>
        <dsp:cNvSpPr/>
      </dsp:nvSpPr>
      <dsp:spPr>
        <a:xfrm rot="5400000">
          <a:off x="-117900" y="2004707"/>
          <a:ext cx="786005" cy="550203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June 2020</a:t>
          </a:r>
        </a:p>
      </dsp:txBody>
      <dsp:txXfrm rot="-5400000">
        <a:off x="2" y="2161908"/>
        <a:ext cx="550203" cy="235802"/>
      </dsp:txXfrm>
    </dsp:sp>
    <dsp:sp modelId="{D48063EA-37BB-4F39-9C9B-603A955DF205}">
      <dsp:nvSpPr>
        <dsp:cNvPr id="0" name=""/>
        <dsp:cNvSpPr/>
      </dsp:nvSpPr>
      <dsp:spPr>
        <a:xfrm rot="5400000">
          <a:off x="2885405" y="-448394"/>
          <a:ext cx="510903" cy="51813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 dirty="0"/>
            <a:t> Formal approval of CEN and CENELEC Strategy 2030 at the AGs in Vienna</a:t>
          </a:r>
        </a:p>
      </dsp:txBody>
      <dsp:txXfrm rot="-5400000">
        <a:off x="550204" y="1911747"/>
        <a:ext cx="5156366" cy="461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81DB-38A0-4AE5-9058-0A01C73B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2875</Words>
  <Characters>16969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CENCENELEC</Company>
  <LinksUpToDate>false</LinksUpToDate>
  <CharactersWithSpaces>19805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 Brecht</dc:creator>
  <cp:keywords/>
  <dc:description/>
  <cp:lastModifiedBy>Hátlová Chaloupecká Věra</cp:lastModifiedBy>
  <cp:revision>2</cp:revision>
  <cp:lastPrinted>2019-10-14T10:21:00Z</cp:lastPrinted>
  <dcterms:created xsi:type="dcterms:W3CDTF">2020-01-08T09:52:00Z</dcterms:created>
  <dcterms:modified xsi:type="dcterms:W3CDTF">2020-01-08T09:52:00Z</dcterms:modified>
</cp:coreProperties>
</file>