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7C" w:rsidRPr="00624CD2" w:rsidRDefault="00763DFF" w:rsidP="00BA067C">
      <w:pPr>
        <w:spacing w:before="120" w:after="120"/>
        <w:jc w:val="both"/>
        <w:rPr>
          <w:rFonts w:asciiTheme="minorHAnsi" w:hAnsiTheme="minorHAnsi"/>
          <w:b/>
          <w:sz w:val="22"/>
          <w:szCs w:val="24"/>
          <w:lang w:eastAsia="cs-CZ"/>
        </w:rPr>
      </w:pPr>
      <w:r w:rsidRPr="00624CD2">
        <w:rPr>
          <w:rFonts w:asciiTheme="minorHAnsi" w:hAnsiTheme="minorHAnsi"/>
          <w:b/>
          <w:sz w:val="22"/>
          <w:szCs w:val="24"/>
          <w:lang w:eastAsia="cs-CZ"/>
        </w:rPr>
        <w:t>Republic of Serbia</w:t>
      </w:r>
      <w:r w:rsidR="00BA067C" w:rsidRPr="00624CD2">
        <w:rPr>
          <w:rFonts w:asciiTheme="minorHAnsi" w:hAnsiTheme="minorHAnsi"/>
          <w:b/>
          <w:sz w:val="22"/>
          <w:szCs w:val="24"/>
          <w:lang w:eastAsia="cs-CZ"/>
        </w:rPr>
        <w:t xml:space="preserve"> – </w:t>
      </w:r>
      <w:r w:rsidRPr="00624CD2">
        <w:rPr>
          <w:rFonts w:asciiTheme="minorHAnsi" w:hAnsiTheme="minorHAnsi"/>
          <w:b/>
          <w:sz w:val="22"/>
          <w:szCs w:val="24"/>
          <w:lang w:eastAsia="cs-CZ"/>
        </w:rPr>
        <w:t>P</w:t>
      </w:r>
      <w:r w:rsidR="00BA067C" w:rsidRPr="00624CD2">
        <w:rPr>
          <w:rFonts w:asciiTheme="minorHAnsi" w:hAnsiTheme="minorHAnsi"/>
          <w:b/>
          <w:sz w:val="22"/>
          <w:szCs w:val="24"/>
          <w:lang w:eastAsia="cs-CZ"/>
        </w:rPr>
        <w:t>rogram Aid for Trade</w:t>
      </w:r>
    </w:p>
    <w:p w:rsidR="00BA067C" w:rsidRPr="00933510" w:rsidRDefault="00763DFF" w:rsidP="00BA067C">
      <w:pPr>
        <w:ind w:right="-319"/>
        <w:jc w:val="both"/>
        <w:rPr>
          <w:rFonts w:asciiTheme="minorHAnsi" w:hAnsiTheme="minorHAnsi"/>
          <w:sz w:val="18"/>
          <w:lang w:val="cs-CZ"/>
        </w:rPr>
      </w:pPr>
      <w:r w:rsidRPr="00624CD2">
        <w:rPr>
          <w:rFonts w:asciiTheme="minorHAnsi" w:hAnsiTheme="minorHAnsi"/>
          <w:sz w:val="22"/>
          <w:szCs w:val="24"/>
          <w:lang w:eastAsia="cs-CZ"/>
        </w:rPr>
        <w:t xml:space="preserve">The Czech Office for Standards, Metrology and Testing (ÚNMZ) </w:t>
      </w:r>
      <w:r w:rsidR="006B625B">
        <w:rPr>
          <w:rFonts w:asciiTheme="minorHAnsi" w:hAnsiTheme="minorHAnsi"/>
          <w:sz w:val="22"/>
          <w:szCs w:val="24"/>
          <w:lang w:eastAsia="cs-CZ"/>
        </w:rPr>
        <w:t>implemented</w:t>
      </w:r>
      <w:r w:rsidRPr="00624CD2">
        <w:rPr>
          <w:rFonts w:asciiTheme="minorHAnsi" w:hAnsiTheme="minorHAnsi"/>
          <w:sz w:val="22"/>
          <w:szCs w:val="24"/>
          <w:lang w:eastAsia="cs-CZ"/>
        </w:rPr>
        <w:t xml:space="preserve"> </w:t>
      </w:r>
      <w:r w:rsidR="003100F6" w:rsidRPr="00624CD2">
        <w:rPr>
          <w:rFonts w:asciiTheme="minorHAnsi" w:hAnsiTheme="minorHAnsi"/>
          <w:sz w:val="22"/>
          <w:szCs w:val="24"/>
          <w:lang w:eastAsia="cs-CZ"/>
        </w:rPr>
        <w:t xml:space="preserve">a </w:t>
      </w:r>
      <w:r w:rsidR="009B3BD8" w:rsidRPr="00624CD2">
        <w:rPr>
          <w:rFonts w:asciiTheme="minorHAnsi" w:hAnsiTheme="minorHAnsi"/>
          <w:sz w:val="22"/>
          <w:szCs w:val="24"/>
          <w:lang w:eastAsia="cs-CZ"/>
        </w:rPr>
        <w:t xml:space="preserve">Czech </w:t>
      </w:r>
      <w:r w:rsidR="003100F6" w:rsidRPr="00624CD2">
        <w:rPr>
          <w:rFonts w:asciiTheme="minorHAnsi" w:hAnsiTheme="minorHAnsi"/>
          <w:sz w:val="22"/>
          <w:szCs w:val="24"/>
          <w:lang w:eastAsia="cs-CZ"/>
        </w:rPr>
        <w:t>Official Development Aid</w:t>
      </w:r>
      <w:r w:rsidRPr="00624CD2">
        <w:rPr>
          <w:rFonts w:asciiTheme="minorHAnsi" w:hAnsiTheme="minorHAnsi"/>
          <w:sz w:val="22"/>
          <w:szCs w:val="24"/>
          <w:lang w:eastAsia="cs-CZ"/>
        </w:rPr>
        <w:t xml:space="preserve"> </w:t>
      </w:r>
      <w:r w:rsidR="003100F6" w:rsidRPr="00624CD2">
        <w:rPr>
          <w:rFonts w:asciiTheme="minorHAnsi" w:hAnsiTheme="minorHAnsi"/>
          <w:sz w:val="22"/>
          <w:szCs w:val="24"/>
          <w:lang w:eastAsia="cs-CZ"/>
        </w:rPr>
        <w:t>p</w:t>
      </w:r>
      <w:r w:rsidRPr="00624CD2">
        <w:rPr>
          <w:rFonts w:asciiTheme="minorHAnsi" w:hAnsiTheme="minorHAnsi"/>
          <w:sz w:val="22"/>
          <w:szCs w:val="24"/>
          <w:lang w:eastAsia="cs-CZ"/>
        </w:rPr>
        <w:t>roject</w:t>
      </w:r>
      <w:r w:rsidR="009B3BD8" w:rsidRPr="00624CD2">
        <w:rPr>
          <w:rFonts w:asciiTheme="minorHAnsi" w:hAnsiTheme="minorHAnsi"/>
          <w:sz w:val="22"/>
          <w:szCs w:val="24"/>
          <w:lang w:eastAsia="cs-CZ"/>
        </w:rPr>
        <w:t xml:space="preserve"> in Serbia</w:t>
      </w:r>
      <w:r w:rsidRPr="00624CD2">
        <w:rPr>
          <w:rFonts w:asciiTheme="minorHAnsi" w:hAnsiTheme="minorHAnsi"/>
          <w:sz w:val="22"/>
          <w:szCs w:val="24"/>
          <w:lang w:eastAsia="cs-CZ"/>
        </w:rPr>
        <w:t xml:space="preserve"> </w:t>
      </w:r>
      <w:r w:rsidR="009B3BD8" w:rsidRPr="00624CD2">
        <w:rPr>
          <w:rFonts w:asciiTheme="minorHAnsi" w:hAnsiTheme="minorHAnsi"/>
          <w:sz w:val="22"/>
          <w:szCs w:val="24"/>
          <w:lang w:eastAsia="cs-CZ"/>
        </w:rPr>
        <w:t xml:space="preserve">titled </w:t>
      </w:r>
      <w:r w:rsidR="009B3BD8" w:rsidRPr="007D7A8C">
        <w:rPr>
          <w:rFonts w:asciiTheme="minorHAnsi" w:hAnsiTheme="minorHAnsi"/>
          <w:b/>
          <w:sz w:val="22"/>
          <w:szCs w:val="22"/>
        </w:rPr>
        <w:t>„</w:t>
      </w:r>
      <w:r w:rsidR="00933510">
        <w:rPr>
          <w:rFonts w:asciiTheme="minorHAnsi" w:hAnsiTheme="minorHAnsi"/>
          <w:b/>
          <w:sz w:val="22"/>
          <w:szCs w:val="22"/>
        </w:rPr>
        <w:t xml:space="preserve">Supporting the Improvement and Development </w:t>
      </w:r>
      <w:r w:rsidR="007D7A8C" w:rsidRPr="007D7A8C">
        <w:rPr>
          <w:rFonts w:asciiTheme="minorHAnsi" w:hAnsiTheme="minorHAnsi"/>
          <w:b/>
          <w:sz w:val="22"/>
          <w:szCs w:val="22"/>
        </w:rPr>
        <w:t xml:space="preserve">of </w:t>
      </w:r>
      <w:r w:rsidR="00933510">
        <w:rPr>
          <w:rFonts w:asciiTheme="minorHAnsi" w:hAnsiTheme="minorHAnsi"/>
          <w:b/>
          <w:sz w:val="22"/>
          <w:szCs w:val="22"/>
        </w:rPr>
        <w:t>the Quality Infrastructure S</w:t>
      </w:r>
      <w:r w:rsidR="007D7A8C" w:rsidRPr="007D7A8C">
        <w:rPr>
          <w:rFonts w:asciiTheme="minorHAnsi" w:hAnsiTheme="minorHAnsi"/>
          <w:b/>
          <w:sz w:val="22"/>
          <w:szCs w:val="22"/>
        </w:rPr>
        <w:t>ector</w:t>
      </w:r>
      <w:r w:rsidR="00933510">
        <w:rPr>
          <w:rFonts w:asciiTheme="minorHAnsi" w:hAnsiTheme="minorHAnsi"/>
          <w:b/>
          <w:sz w:val="22"/>
          <w:szCs w:val="22"/>
        </w:rPr>
        <w:t xml:space="preserve"> in Serbia</w:t>
      </w:r>
      <w:r w:rsidR="009B3BD8" w:rsidRPr="00624CD2">
        <w:rPr>
          <w:rFonts w:asciiTheme="minorHAnsi" w:hAnsiTheme="minorHAnsi"/>
          <w:b/>
          <w:sz w:val="22"/>
          <w:szCs w:val="24"/>
          <w:lang w:eastAsia="cs-CZ"/>
        </w:rPr>
        <w:t>“</w:t>
      </w:r>
      <w:r w:rsidR="009B3BD8" w:rsidRPr="00624CD2">
        <w:rPr>
          <w:rFonts w:asciiTheme="minorHAnsi" w:hAnsiTheme="minorHAnsi"/>
          <w:sz w:val="22"/>
          <w:szCs w:val="24"/>
          <w:lang w:eastAsia="cs-CZ"/>
        </w:rPr>
        <w:t>.</w:t>
      </w:r>
    </w:p>
    <w:tbl>
      <w:tblPr>
        <w:tblW w:w="5132"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7"/>
        <w:gridCol w:w="1505"/>
        <w:gridCol w:w="1508"/>
        <w:gridCol w:w="1204"/>
        <w:gridCol w:w="603"/>
        <w:gridCol w:w="750"/>
        <w:gridCol w:w="1807"/>
        <w:gridCol w:w="2109"/>
        <w:gridCol w:w="1658"/>
        <w:gridCol w:w="1834"/>
      </w:tblGrid>
      <w:tr w:rsidR="00BA067C" w:rsidRPr="00624CD2" w:rsidTr="009C0318">
        <w:trPr>
          <w:cantSplit/>
          <w:trHeight w:val="678"/>
        </w:trPr>
        <w:tc>
          <w:tcPr>
            <w:tcW w:w="741" w:type="pct"/>
            <w:tcBorders>
              <w:top w:val="single" w:sz="12" w:space="0" w:color="auto"/>
              <w:left w:val="single" w:sz="12" w:space="0" w:color="auto"/>
            </w:tcBorders>
            <w:shd w:val="clear" w:color="auto" w:fill="F2F2F2" w:themeFill="background1" w:themeFillShade="F2"/>
            <w:vAlign w:val="center"/>
          </w:tcPr>
          <w:p w:rsidR="00BA067C" w:rsidRPr="00624CD2" w:rsidRDefault="00C811C7" w:rsidP="009C0318">
            <w:pPr>
              <w:tabs>
                <w:tab w:val="num" w:pos="540"/>
              </w:tabs>
              <w:spacing w:after="0"/>
              <w:jc w:val="center"/>
              <w:rPr>
                <w:rFonts w:ascii="Calibri" w:hAnsi="Calibri" w:cs="Arial"/>
                <w:b/>
                <w:bCs/>
                <w:sz w:val="22"/>
                <w:szCs w:val="22"/>
              </w:rPr>
            </w:pPr>
            <w:r w:rsidRPr="00624CD2">
              <w:rPr>
                <w:rFonts w:ascii="Calibri" w:hAnsi="Calibri" w:cs="Arial"/>
                <w:b/>
                <w:bCs/>
                <w:sz w:val="22"/>
                <w:szCs w:val="22"/>
              </w:rPr>
              <w:t>Project title</w:t>
            </w:r>
          </w:p>
        </w:tc>
        <w:tc>
          <w:tcPr>
            <w:tcW w:w="4259" w:type="pct"/>
            <w:gridSpan w:val="9"/>
            <w:tcBorders>
              <w:top w:val="single" w:sz="12" w:space="0" w:color="auto"/>
              <w:right w:val="single" w:sz="12" w:space="0" w:color="auto"/>
            </w:tcBorders>
            <w:shd w:val="clear" w:color="auto" w:fill="auto"/>
            <w:vAlign w:val="center"/>
          </w:tcPr>
          <w:p w:rsidR="00BA067C" w:rsidRPr="00624CD2" w:rsidRDefault="00C811C7" w:rsidP="00933510">
            <w:pPr>
              <w:pStyle w:val="Annexetitle"/>
              <w:rPr>
                <w:rFonts w:ascii="Calibri" w:hAnsi="Calibri"/>
                <w:sz w:val="22"/>
                <w:szCs w:val="22"/>
              </w:rPr>
            </w:pPr>
            <w:r w:rsidRPr="00624CD2">
              <w:rPr>
                <w:rFonts w:asciiTheme="minorHAnsi" w:hAnsiTheme="minorHAnsi"/>
                <w:sz w:val="22"/>
                <w:szCs w:val="24"/>
                <w:lang w:eastAsia="cs-CZ"/>
              </w:rPr>
              <w:t>Aid for Trade Program – Serbia „</w:t>
            </w:r>
            <w:r w:rsidR="007D7A8C" w:rsidRPr="007D7A8C">
              <w:rPr>
                <w:rFonts w:asciiTheme="minorHAnsi" w:hAnsiTheme="minorHAnsi"/>
                <w:b w:val="0"/>
                <w:sz w:val="22"/>
                <w:szCs w:val="22"/>
              </w:rPr>
              <w:t xml:space="preserve"> </w:t>
            </w:r>
            <w:r w:rsidR="007D7A8C" w:rsidRPr="007D7A8C">
              <w:rPr>
                <w:rFonts w:asciiTheme="minorHAnsi" w:hAnsiTheme="minorHAnsi"/>
                <w:sz w:val="22"/>
                <w:szCs w:val="22"/>
              </w:rPr>
              <w:t>Support</w:t>
            </w:r>
            <w:r w:rsidR="00933510">
              <w:rPr>
                <w:rFonts w:asciiTheme="minorHAnsi" w:hAnsiTheme="minorHAnsi"/>
                <w:sz w:val="22"/>
                <w:szCs w:val="22"/>
              </w:rPr>
              <w:t xml:space="preserve">ing the </w:t>
            </w:r>
            <w:r w:rsidR="007D7A8C" w:rsidRPr="007D7A8C">
              <w:rPr>
                <w:rFonts w:asciiTheme="minorHAnsi" w:hAnsiTheme="minorHAnsi"/>
                <w:sz w:val="22"/>
                <w:szCs w:val="22"/>
              </w:rPr>
              <w:t xml:space="preserve"> improvement and development of </w:t>
            </w:r>
            <w:r w:rsidR="00933510">
              <w:rPr>
                <w:rFonts w:asciiTheme="minorHAnsi" w:hAnsiTheme="minorHAnsi"/>
                <w:sz w:val="22"/>
                <w:szCs w:val="22"/>
              </w:rPr>
              <w:t xml:space="preserve">THE </w:t>
            </w:r>
            <w:r w:rsidR="007D7A8C" w:rsidRPr="007D7A8C">
              <w:rPr>
                <w:rFonts w:asciiTheme="minorHAnsi" w:hAnsiTheme="minorHAnsi"/>
                <w:sz w:val="22"/>
                <w:szCs w:val="22"/>
              </w:rPr>
              <w:t>Quality infrastructure sector</w:t>
            </w:r>
            <w:r w:rsidR="00933510">
              <w:rPr>
                <w:rFonts w:asciiTheme="minorHAnsi" w:hAnsiTheme="minorHAnsi"/>
                <w:sz w:val="22"/>
                <w:szCs w:val="22"/>
              </w:rPr>
              <w:t xml:space="preserve"> in serbia</w:t>
            </w:r>
            <w:r w:rsidR="007D7A8C" w:rsidRPr="007D7A8C">
              <w:rPr>
                <w:rFonts w:asciiTheme="minorHAnsi" w:hAnsiTheme="minorHAnsi"/>
                <w:sz w:val="22"/>
                <w:szCs w:val="24"/>
                <w:lang w:eastAsia="cs-CZ"/>
              </w:rPr>
              <w:t xml:space="preserve"> </w:t>
            </w:r>
            <w:r w:rsidRPr="007D7A8C">
              <w:rPr>
                <w:rFonts w:asciiTheme="minorHAnsi" w:hAnsiTheme="minorHAnsi"/>
                <w:sz w:val="22"/>
                <w:szCs w:val="24"/>
                <w:lang w:eastAsia="cs-CZ"/>
              </w:rPr>
              <w:t>“</w:t>
            </w:r>
          </w:p>
        </w:tc>
      </w:tr>
      <w:tr w:rsidR="00BA067C" w:rsidRPr="00624CD2" w:rsidTr="00AF7F19">
        <w:trPr>
          <w:cantSplit/>
          <w:trHeight w:val="967"/>
        </w:trPr>
        <w:tc>
          <w:tcPr>
            <w:tcW w:w="741" w:type="pct"/>
            <w:tcBorders>
              <w:left w:val="single" w:sz="12" w:space="0" w:color="auto"/>
            </w:tcBorders>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Name of legal entity</w:t>
            </w:r>
          </w:p>
        </w:tc>
        <w:tc>
          <w:tcPr>
            <w:tcW w:w="494"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Calibri" w:hAnsi="Calibri"/>
                <w:b/>
                <w:sz w:val="22"/>
                <w:szCs w:val="22"/>
              </w:rPr>
              <w:t>Beneficiary country</w:t>
            </w:r>
          </w:p>
        </w:tc>
        <w:tc>
          <w:tcPr>
            <w:tcW w:w="495" w:type="pct"/>
            <w:shd w:val="pct5" w:color="auto" w:fill="FFFFFF"/>
            <w:vAlign w:val="center"/>
          </w:tcPr>
          <w:p w:rsidR="00BA067C" w:rsidRPr="00624CD2" w:rsidRDefault="00A92E94" w:rsidP="0019546E">
            <w:pPr>
              <w:widowControl w:val="0"/>
              <w:spacing w:after="0"/>
              <w:jc w:val="center"/>
              <w:rPr>
                <w:rFonts w:ascii="Calibri" w:hAnsi="Calibri"/>
                <w:b/>
                <w:sz w:val="22"/>
                <w:szCs w:val="22"/>
              </w:rPr>
            </w:pPr>
            <w:r w:rsidRPr="00DB5DAE">
              <w:rPr>
                <w:rFonts w:asciiTheme="minorHAnsi" w:hAnsiTheme="minorHAnsi"/>
                <w:b/>
                <w:sz w:val="22"/>
                <w:szCs w:val="22"/>
              </w:rPr>
              <w:t xml:space="preserve">Total project budget </w:t>
            </w:r>
          </w:p>
        </w:tc>
        <w:tc>
          <w:tcPr>
            <w:tcW w:w="395"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Proportion carried out by legal entity (%)</w:t>
            </w:r>
          </w:p>
        </w:tc>
        <w:tc>
          <w:tcPr>
            <w:tcW w:w="444" w:type="pct"/>
            <w:gridSpan w:val="2"/>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No of staff provided</w:t>
            </w:r>
          </w:p>
        </w:tc>
        <w:tc>
          <w:tcPr>
            <w:tcW w:w="593"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Name of client</w:t>
            </w:r>
          </w:p>
        </w:tc>
        <w:tc>
          <w:tcPr>
            <w:tcW w:w="692" w:type="pct"/>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Origin of funding</w:t>
            </w:r>
          </w:p>
        </w:tc>
        <w:tc>
          <w:tcPr>
            <w:tcW w:w="544" w:type="pct"/>
            <w:shd w:val="pct5" w:color="auto" w:fill="FFFFFF"/>
            <w:vAlign w:val="center"/>
          </w:tcPr>
          <w:p w:rsidR="00BA067C" w:rsidRPr="00624CD2" w:rsidRDefault="00C811C7" w:rsidP="00C811C7">
            <w:pPr>
              <w:widowControl w:val="0"/>
              <w:spacing w:after="0"/>
              <w:jc w:val="center"/>
              <w:rPr>
                <w:rFonts w:ascii="Calibri" w:hAnsi="Calibri"/>
                <w:b/>
                <w:sz w:val="22"/>
                <w:szCs w:val="22"/>
              </w:rPr>
            </w:pPr>
            <w:r w:rsidRPr="00624CD2">
              <w:rPr>
                <w:rFonts w:asciiTheme="minorHAnsi" w:hAnsiTheme="minorHAnsi"/>
                <w:b/>
                <w:sz w:val="22"/>
                <w:szCs w:val="22"/>
              </w:rPr>
              <w:t>Dates (start-end)</w:t>
            </w:r>
          </w:p>
        </w:tc>
        <w:tc>
          <w:tcPr>
            <w:tcW w:w="602" w:type="pct"/>
            <w:tcBorders>
              <w:right w:val="single" w:sz="12" w:space="0" w:color="auto"/>
            </w:tcBorders>
            <w:shd w:val="pct5" w:color="auto" w:fill="FFFFFF"/>
            <w:vAlign w:val="center"/>
          </w:tcPr>
          <w:p w:rsidR="00BA067C" w:rsidRPr="00624CD2" w:rsidRDefault="00C811C7" w:rsidP="009C0318">
            <w:pPr>
              <w:widowControl w:val="0"/>
              <w:spacing w:after="0"/>
              <w:jc w:val="center"/>
              <w:rPr>
                <w:rFonts w:ascii="Calibri" w:hAnsi="Calibri"/>
                <w:b/>
                <w:sz w:val="22"/>
                <w:szCs w:val="22"/>
              </w:rPr>
            </w:pPr>
            <w:r w:rsidRPr="00624CD2">
              <w:rPr>
                <w:rFonts w:asciiTheme="minorHAnsi" w:hAnsiTheme="minorHAnsi"/>
                <w:b/>
                <w:sz w:val="22"/>
                <w:szCs w:val="22"/>
              </w:rPr>
              <w:t>Name of consortium members, if any</w:t>
            </w:r>
          </w:p>
        </w:tc>
      </w:tr>
      <w:tr w:rsidR="00BA067C" w:rsidRPr="00624CD2" w:rsidTr="00AF7F19">
        <w:trPr>
          <w:cantSplit/>
        </w:trPr>
        <w:tc>
          <w:tcPr>
            <w:tcW w:w="741" w:type="pct"/>
            <w:tcBorders>
              <w:left w:val="single" w:sz="12" w:space="0" w:color="auto"/>
            </w:tcBorders>
            <w:vAlign w:val="center"/>
          </w:tcPr>
          <w:p w:rsidR="00BA067C" w:rsidRPr="00624CD2" w:rsidRDefault="00BA067C" w:rsidP="009C0318">
            <w:pPr>
              <w:widowControl w:val="0"/>
              <w:spacing w:after="0"/>
              <w:jc w:val="center"/>
              <w:rPr>
                <w:rFonts w:ascii="Calibri" w:hAnsi="Calibri" w:cs="Arial"/>
                <w:sz w:val="22"/>
                <w:szCs w:val="22"/>
              </w:rPr>
            </w:pPr>
          </w:p>
          <w:p w:rsidR="00BA067C" w:rsidRPr="00624CD2" w:rsidRDefault="00BA067C" w:rsidP="009C0318">
            <w:pPr>
              <w:widowControl w:val="0"/>
              <w:spacing w:after="0"/>
              <w:jc w:val="center"/>
              <w:rPr>
                <w:rFonts w:ascii="Calibri" w:hAnsi="Calibri" w:cs="Arial"/>
                <w:sz w:val="22"/>
                <w:szCs w:val="22"/>
              </w:rPr>
            </w:pPr>
            <w:r w:rsidRPr="00624CD2">
              <w:rPr>
                <w:rFonts w:ascii="Calibri" w:hAnsi="Calibri" w:cs="Arial"/>
                <w:noProof/>
                <w:sz w:val="22"/>
                <w:szCs w:val="22"/>
                <w:lang w:val="cs-CZ" w:eastAsia="cs-CZ"/>
              </w:rPr>
              <w:drawing>
                <wp:inline distT="0" distB="0" distL="0" distR="0" wp14:anchorId="2B143089" wp14:editId="4096AEC4">
                  <wp:extent cx="1224915" cy="431165"/>
                  <wp:effectExtent l="0" t="0" r="0" b="6985"/>
                  <wp:docPr id="2" name="Obrázek 2" descr="Logo UN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915" cy="431165"/>
                          </a:xfrm>
                          <a:prstGeom prst="rect">
                            <a:avLst/>
                          </a:prstGeom>
                          <a:noFill/>
                          <a:ln>
                            <a:noFill/>
                          </a:ln>
                        </pic:spPr>
                      </pic:pic>
                    </a:graphicData>
                  </a:graphic>
                </wp:inline>
              </w:drawing>
            </w:r>
          </w:p>
          <w:p w:rsidR="00BA067C" w:rsidRPr="00624CD2" w:rsidRDefault="00BA067C" w:rsidP="009C0318">
            <w:pPr>
              <w:widowControl w:val="0"/>
              <w:spacing w:after="0"/>
              <w:jc w:val="center"/>
              <w:rPr>
                <w:rFonts w:ascii="Calibri" w:hAnsi="Calibri" w:cs="Arial"/>
                <w:sz w:val="22"/>
                <w:szCs w:val="22"/>
              </w:rPr>
            </w:pPr>
          </w:p>
        </w:tc>
        <w:tc>
          <w:tcPr>
            <w:tcW w:w="494" w:type="pct"/>
            <w:vAlign w:val="center"/>
          </w:tcPr>
          <w:p w:rsidR="00BA067C" w:rsidRPr="00624CD2" w:rsidRDefault="00C811C7" w:rsidP="009C0318">
            <w:pPr>
              <w:widowControl w:val="0"/>
              <w:spacing w:after="0"/>
              <w:jc w:val="center"/>
              <w:rPr>
                <w:rFonts w:ascii="Calibri" w:hAnsi="Calibri" w:cs="Arial"/>
                <w:sz w:val="22"/>
                <w:szCs w:val="22"/>
              </w:rPr>
            </w:pPr>
            <w:r w:rsidRPr="00624CD2">
              <w:rPr>
                <w:rFonts w:ascii="Calibri" w:hAnsi="Calibri" w:cs="Arial"/>
                <w:sz w:val="22"/>
                <w:szCs w:val="22"/>
              </w:rPr>
              <w:t>Republic of Serbia</w:t>
            </w:r>
          </w:p>
        </w:tc>
        <w:tc>
          <w:tcPr>
            <w:tcW w:w="495" w:type="pct"/>
            <w:vAlign w:val="center"/>
          </w:tcPr>
          <w:p w:rsidR="00BA067C" w:rsidRPr="00624CD2" w:rsidRDefault="007D7A8C" w:rsidP="00AF7F19">
            <w:pPr>
              <w:widowControl w:val="0"/>
              <w:spacing w:after="0"/>
              <w:jc w:val="center"/>
              <w:rPr>
                <w:rFonts w:asciiTheme="minorHAnsi" w:hAnsiTheme="minorHAnsi" w:cs="Arial"/>
                <w:sz w:val="22"/>
                <w:szCs w:val="22"/>
              </w:rPr>
            </w:pPr>
            <w:r>
              <w:rPr>
                <w:rFonts w:asciiTheme="minorHAnsi" w:hAnsiTheme="minorHAnsi" w:cs="Arial"/>
                <w:sz w:val="22"/>
                <w:szCs w:val="22"/>
              </w:rPr>
              <w:t>998</w:t>
            </w:r>
            <w:r w:rsidR="0019546E">
              <w:rPr>
                <w:rFonts w:asciiTheme="minorHAnsi" w:hAnsiTheme="minorHAnsi" w:cs="Arial"/>
                <w:sz w:val="22"/>
                <w:szCs w:val="22"/>
              </w:rPr>
              <w:t> </w:t>
            </w:r>
            <w:r>
              <w:rPr>
                <w:rFonts w:asciiTheme="minorHAnsi" w:hAnsiTheme="minorHAnsi" w:cs="Arial"/>
                <w:sz w:val="22"/>
                <w:szCs w:val="22"/>
              </w:rPr>
              <w:t>547</w:t>
            </w:r>
            <w:r w:rsidR="0019546E">
              <w:rPr>
                <w:rFonts w:asciiTheme="minorHAnsi" w:hAnsiTheme="minorHAnsi" w:cs="Arial"/>
                <w:sz w:val="22"/>
                <w:szCs w:val="22"/>
              </w:rPr>
              <w:t xml:space="preserve"> </w:t>
            </w:r>
            <w:r w:rsidR="00AF7F19">
              <w:rPr>
                <w:rFonts w:asciiTheme="minorHAnsi" w:hAnsiTheme="minorHAnsi" w:cs="Arial"/>
                <w:sz w:val="22"/>
                <w:szCs w:val="22"/>
              </w:rPr>
              <w:t>CZK</w:t>
            </w:r>
          </w:p>
        </w:tc>
        <w:tc>
          <w:tcPr>
            <w:tcW w:w="395" w:type="pct"/>
            <w:vAlign w:val="center"/>
          </w:tcPr>
          <w:p w:rsidR="00BA067C" w:rsidRPr="00624CD2" w:rsidRDefault="00BA067C" w:rsidP="009C0318">
            <w:pPr>
              <w:widowControl w:val="0"/>
              <w:spacing w:after="0"/>
              <w:jc w:val="center"/>
              <w:rPr>
                <w:rFonts w:asciiTheme="minorHAnsi" w:hAnsiTheme="minorHAnsi" w:cs="Arial"/>
                <w:sz w:val="22"/>
                <w:szCs w:val="22"/>
              </w:rPr>
            </w:pPr>
            <w:r w:rsidRPr="00C931D7">
              <w:rPr>
                <w:rFonts w:asciiTheme="minorHAnsi" w:hAnsiTheme="minorHAnsi" w:cs="Arial"/>
                <w:sz w:val="22"/>
                <w:szCs w:val="22"/>
              </w:rPr>
              <w:t>100</w:t>
            </w:r>
            <w:r w:rsidR="00DE5950" w:rsidRPr="00C931D7">
              <w:rPr>
                <w:rFonts w:asciiTheme="minorHAnsi" w:hAnsiTheme="minorHAnsi" w:cs="Arial"/>
                <w:sz w:val="22"/>
                <w:szCs w:val="22"/>
              </w:rPr>
              <w:t xml:space="preserve"> </w:t>
            </w:r>
            <w:r w:rsidRPr="00C931D7">
              <w:rPr>
                <w:rFonts w:asciiTheme="minorHAnsi" w:hAnsiTheme="minorHAnsi" w:cs="Arial"/>
                <w:sz w:val="22"/>
                <w:szCs w:val="22"/>
              </w:rPr>
              <w:t>%</w:t>
            </w:r>
          </w:p>
        </w:tc>
        <w:tc>
          <w:tcPr>
            <w:tcW w:w="444" w:type="pct"/>
            <w:gridSpan w:val="2"/>
            <w:vAlign w:val="center"/>
          </w:tcPr>
          <w:p w:rsidR="00BA067C" w:rsidRPr="00624CD2" w:rsidRDefault="00E01FD1" w:rsidP="009C0318">
            <w:pPr>
              <w:widowControl w:val="0"/>
              <w:spacing w:after="0"/>
              <w:jc w:val="center"/>
              <w:rPr>
                <w:rFonts w:ascii="Calibri" w:hAnsi="Calibri" w:cs="Arial"/>
                <w:sz w:val="22"/>
                <w:szCs w:val="22"/>
              </w:rPr>
            </w:pPr>
            <w:r w:rsidRPr="00975D2C">
              <w:rPr>
                <w:rFonts w:ascii="Calibri" w:hAnsi="Calibri" w:cs="Arial"/>
                <w:sz w:val="22"/>
                <w:szCs w:val="22"/>
              </w:rPr>
              <w:t>7</w:t>
            </w:r>
          </w:p>
        </w:tc>
        <w:tc>
          <w:tcPr>
            <w:tcW w:w="593" w:type="pct"/>
            <w:vAlign w:val="center"/>
          </w:tcPr>
          <w:p w:rsidR="00BA067C" w:rsidRPr="00624CD2" w:rsidRDefault="00096569" w:rsidP="009C0318">
            <w:pPr>
              <w:widowControl w:val="0"/>
              <w:spacing w:after="0"/>
              <w:jc w:val="center"/>
              <w:rPr>
                <w:rFonts w:ascii="Calibri" w:hAnsi="Calibri"/>
                <w:sz w:val="22"/>
                <w:szCs w:val="22"/>
              </w:rPr>
            </w:pPr>
            <w:proofErr w:type="spellStart"/>
            <w:r>
              <w:rPr>
                <w:rFonts w:asciiTheme="minorHAnsi" w:hAnsiTheme="minorHAnsi" w:cs="Arial"/>
                <w:sz w:val="22"/>
                <w:szCs w:val="22"/>
              </w:rPr>
              <w:t>Institut</w:t>
            </w:r>
            <w:proofErr w:type="spellEnd"/>
            <w:r>
              <w:rPr>
                <w:rFonts w:asciiTheme="minorHAnsi" w:hAnsiTheme="minorHAnsi" w:cs="Arial"/>
                <w:sz w:val="22"/>
                <w:szCs w:val="22"/>
              </w:rPr>
              <w:t xml:space="preserve"> for S</w:t>
            </w:r>
            <w:r w:rsidR="007D7A8C">
              <w:rPr>
                <w:rFonts w:asciiTheme="minorHAnsi" w:hAnsiTheme="minorHAnsi" w:cs="Arial"/>
                <w:sz w:val="22"/>
                <w:szCs w:val="22"/>
              </w:rPr>
              <w:t>tandardization of Serbia</w:t>
            </w:r>
          </w:p>
        </w:tc>
        <w:tc>
          <w:tcPr>
            <w:tcW w:w="692" w:type="pct"/>
            <w:vAlign w:val="center"/>
          </w:tcPr>
          <w:p w:rsidR="00BA067C" w:rsidRPr="00624CD2" w:rsidRDefault="00C811C7" w:rsidP="009C0318">
            <w:pPr>
              <w:widowControl w:val="0"/>
              <w:spacing w:after="0"/>
              <w:jc w:val="center"/>
              <w:rPr>
                <w:rFonts w:ascii="Calibri" w:hAnsi="Calibri" w:cs="Arial"/>
                <w:sz w:val="22"/>
                <w:szCs w:val="22"/>
              </w:rPr>
            </w:pPr>
            <w:r w:rsidRPr="00624CD2">
              <w:rPr>
                <w:rFonts w:asciiTheme="minorHAnsi" w:hAnsiTheme="minorHAnsi" w:cs="Arial"/>
                <w:sz w:val="22"/>
                <w:szCs w:val="22"/>
              </w:rPr>
              <w:t>Development Aid of the Czech Republic</w:t>
            </w:r>
          </w:p>
        </w:tc>
        <w:tc>
          <w:tcPr>
            <w:tcW w:w="544" w:type="pct"/>
            <w:vAlign w:val="center"/>
          </w:tcPr>
          <w:p w:rsidR="00BA067C" w:rsidRPr="00624CD2" w:rsidRDefault="007D7A8C" w:rsidP="009C0318">
            <w:pPr>
              <w:widowControl w:val="0"/>
              <w:spacing w:after="0"/>
              <w:jc w:val="center"/>
              <w:rPr>
                <w:rFonts w:asciiTheme="minorHAnsi" w:hAnsiTheme="minorHAnsi" w:cs="Arial"/>
                <w:sz w:val="22"/>
                <w:szCs w:val="22"/>
              </w:rPr>
            </w:pPr>
            <w:r>
              <w:rPr>
                <w:rFonts w:asciiTheme="minorHAnsi" w:hAnsiTheme="minorHAnsi" w:cs="Arial"/>
                <w:sz w:val="22"/>
                <w:szCs w:val="22"/>
              </w:rPr>
              <w:t xml:space="preserve">  09/2018 - 11/2019</w:t>
            </w:r>
          </w:p>
        </w:tc>
        <w:tc>
          <w:tcPr>
            <w:tcW w:w="602" w:type="pct"/>
            <w:tcBorders>
              <w:right w:val="single" w:sz="12" w:space="0" w:color="auto"/>
            </w:tcBorders>
            <w:vAlign w:val="center"/>
          </w:tcPr>
          <w:p w:rsidR="00BA067C" w:rsidRPr="00624CD2" w:rsidRDefault="00BA067C" w:rsidP="009C0318">
            <w:pPr>
              <w:widowControl w:val="0"/>
              <w:spacing w:after="0"/>
              <w:jc w:val="center"/>
              <w:rPr>
                <w:rFonts w:asciiTheme="minorHAnsi" w:hAnsiTheme="minorHAnsi" w:cs="Arial"/>
                <w:sz w:val="22"/>
                <w:szCs w:val="22"/>
              </w:rPr>
            </w:pPr>
            <w:r w:rsidRPr="00624CD2">
              <w:rPr>
                <w:rFonts w:asciiTheme="minorHAnsi" w:hAnsiTheme="minorHAnsi" w:cs="Arial"/>
                <w:sz w:val="22"/>
                <w:szCs w:val="22"/>
              </w:rPr>
              <w:t>-</w:t>
            </w:r>
          </w:p>
        </w:tc>
      </w:tr>
      <w:tr w:rsidR="00BA067C" w:rsidRPr="00624CD2" w:rsidTr="00C829F2">
        <w:trPr>
          <w:cantSplit/>
        </w:trPr>
        <w:tc>
          <w:tcPr>
            <w:tcW w:w="2323" w:type="pct"/>
            <w:gridSpan w:val="5"/>
            <w:tcBorders>
              <w:left w:val="single" w:sz="12" w:space="0" w:color="auto"/>
              <w:right w:val="single" w:sz="4" w:space="0" w:color="auto"/>
            </w:tcBorders>
            <w:shd w:val="pct5" w:color="auto" w:fill="FFFFFF"/>
            <w:vAlign w:val="center"/>
          </w:tcPr>
          <w:p w:rsidR="00BA067C" w:rsidRPr="00624CD2" w:rsidRDefault="0026557A" w:rsidP="0026557A">
            <w:pPr>
              <w:keepNext/>
              <w:keepLines/>
              <w:widowControl w:val="0"/>
              <w:spacing w:after="0"/>
              <w:jc w:val="center"/>
              <w:rPr>
                <w:rFonts w:ascii="Calibri" w:hAnsi="Calibri"/>
                <w:b/>
                <w:sz w:val="22"/>
                <w:szCs w:val="22"/>
              </w:rPr>
            </w:pPr>
            <w:r w:rsidRPr="00624CD2">
              <w:rPr>
                <w:rFonts w:asciiTheme="minorHAnsi" w:hAnsiTheme="minorHAnsi"/>
                <w:b/>
                <w:sz w:val="22"/>
                <w:szCs w:val="22"/>
              </w:rPr>
              <w:t>Detailed project description</w:t>
            </w:r>
          </w:p>
        </w:tc>
        <w:tc>
          <w:tcPr>
            <w:tcW w:w="2677" w:type="pct"/>
            <w:gridSpan w:val="5"/>
            <w:tcBorders>
              <w:left w:val="single" w:sz="4" w:space="0" w:color="auto"/>
              <w:right w:val="single" w:sz="12" w:space="0" w:color="auto"/>
            </w:tcBorders>
            <w:shd w:val="pct5" w:color="auto" w:fill="FFFFFF"/>
            <w:vAlign w:val="center"/>
          </w:tcPr>
          <w:p w:rsidR="00BA067C" w:rsidRPr="00624CD2" w:rsidRDefault="0026557A" w:rsidP="002C33C1">
            <w:pPr>
              <w:keepNext/>
              <w:keepLines/>
              <w:widowControl w:val="0"/>
              <w:spacing w:after="0"/>
              <w:jc w:val="center"/>
              <w:rPr>
                <w:rFonts w:ascii="Calibri" w:hAnsi="Calibri"/>
                <w:b/>
                <w:sz w:val="22"/>
                <w:szCs w:val="22"/>
              </w:rPr>
            </w:pPr>
            <w:r w:rsidRPr="00624CD2">
              <w:rPr>
                <w:rFonts w:ascii="Helv" w:eastAsiaTheme="minorHAnsi" w:hAnsi="Helv" w:cs="Helv"/>
                <w:b/>
                <w:color w:val="000000"/>
                <w:lang w:eastAsia="en-US"/>
              </w:rPr>
              <w:t xml:space="preserve">Predefined Project </w:t>
            </w:r>
            <w:r w:rsidR="00624CD2" w:rsidRPr="00624CD2">
              <w:rPr>
                <w:rFonts w:ascii="Helv" w:eastAsiaTheme="minorHAnsi" w:hAnsi="Helv" w:cs="Helv"/>
                <w:b/>
                <w:color w:val="000000"/>
                <w:lang w:eastAsia="en-US"/>
              </w:rPr>
              <w:t>out</w:t>
            </w:r>
            <w:r w:rsidR="002C33C1">
              <w:rPr>
                <w:rFonts w:ascii="Helv" w:eastAsiaTheme="minorHAnsi" w:hAnsi="Helv" w:cs="Helv"/>
                <w:b/>
                <w:color w:val="000000"/>
                <w:lang w:eastAsia="en-US"/>
              </w:rPr>
              <w:t>puts</w:t>
            </w:r>
          </w:p>
        </w:tc>
      </w:tr>
      <w:tr w:rsidR="00BA067C" w:rsidRPr="00624CD2" w:rsidTr="003E7355">
        <w:tc>
          <w:tcPr>
            <w:tcW w:w="2323" w:type="pct"/>
            <w:gridSpan w:val="5"/>
            <w:tcBorders>
              <w:top w:val="single" w:sz="6" w:space="0" w:color="auto"/>
              <w:left w:val="single" w:sz="12" w:space="0" w:color="auto"/>
              <w:bottom w:val="single" w:sz="12" w:space="0" w:color="auto"/>
              <w:right w:val="single" w:sz="8" w:space="0" w:color="auto"/>
            </w:tcBorders>
          </w:tcPr>
          <w:p w:rsidR="00BA067C" w:rsidRPr="00624CD2" w:rsidRDefault="00932BFE" w:rsidP="00AB446E">
            <w:pPr>
              <w:pStyle w:val="HDbodytable"/>
              <w:spacing w:before="240"/>
              <w:jc w:val="both"/>
              <w:rPr>
                <w:b/>
                <w:sz w:val="22"/>
                <w:szCs w:val="22"/>
              </w:rPr>
            </w:pPr>
            <w:r w:rsidRPr="00624CD2">
              <w:rPr>
                <w:rFonts w:asciiTheme="minorHAnsi" w:hAnsiTheme="minorHAnsi"/>
                <w:b/>
                <w:sz w:val="22"/>
                <w:szCs w:val="22"/>
              </w:rPr>
              <w:t>Overall</w:t>
            </w:r>
            <w:r w:rsidRPr="00624CD2">
              <w:rPr>
                <w:b/>
                <w:sz w:val="22"/>
                <w:szCs w:val="22"/>
              </w:rPr>
              <w:t xml:space="preserve"> objective</w:t>
            </w:r>
          </w:p>
          <w:p w:rsidR="00B17BB8" w:rsidRDefault="00AB446E" w:rsidP="00335D45">
            <w:pPr>
              <w:pStyle w:val="HDbodytable"/>
              <w:jc w:val="both"/>
              <w:rPr>
                <w:sz w:val="22"/>
                <w:szCs w:val="22"/>
              </w:rPr>
            </w:pPr>
            <w:r>
              <w:rPr>
                <w:sz w:val="22"/>
                <w:szCs w:val="22"/>
              </w:rPr>
              <w:t xml:space="preserve">The aim of the project </w:t>
            </w:r>
            <w:r w:rsidR="009355FA">
              <w:rPr>
                <w:sz w:val="22"/>
                <w:szCs w:val="22"/>
              </w:rPr>
              <w:t>was</w:t>
            </w:r>
            <w:r w:rsidR="00B17BB8" w:rsidRPr="00B17BB8">
              <w:rPr>
                <w:sz w:val="22"/>
                <w:szCs w:val="22"/>
              </w:rPr>
              <w:t xml:space="preserve"> </w:t>
            </w:r>
            <w:r>
              <w:rPr>
                <w:rFonts w:asciiTheme="minorHAnsi" w:hAnsiTheme="minorHAnsi"/>
                <w:sz w:val="22"/>
                <w:szCs w:val="22"/>
              </w:rPr>
              <w:t>building up more expertise of Serbian capacities and its strength</w:t>
            </w:r>
            <w:r w:rsidR="00933510">
              <w:rPr>
                <w:rFonts w:asciiTheme="minorHAnsi" w:hAnsiTheme="minorHAnsi"/>
                <w:sz w:val="22"/>
                <w:szCs w:val="22"/>
              </w:rPr>
              <w:t>ening in the area of quality in</w:t>
            </w:r>
            <w:r>
              <w:rPr>
                <w:rFonts w:asciiTheme="minorHAnsi" w:hAnsiTheme="minorHAnsi"/>
                <w:sz w:val="22"/>
                <w:szCs w:val="22"/>
              </w:rPr>
              <w:t>frastructure and implementation of European legislation and development and application of standards in the area of construction products in order to help this products to succeed on the market, including increasing of their reliability using the principle of declaration of performance or, if appropriate, certification.</w:t>
            </w:r>
          </w:p>
          <w:p w:rsidR="00B17BB8" w:rsidRDefault="00AB446E" w:rsidP="00AB446E">
            <w:pPr>
              <w:pStyle w:val="HDbodytable"/>
              <w:spacing w:before="240"/>
              <w:jc w:val="both"/>
              <w:rPr>
                <w:b/>
                <w:sz w:val="22"/>
                <w:szCs w:val="22"/>
              </w:rPr>
            </w:pPr>
            <w:r>
              <w:rPr>
                <w:b/>
                <w:sz w:val="22"/>
                <w:szCs w:val="22"/>
              </w:rPr>
              <w:t>Project objectives</w:t>
            </w:r>
          </w:p>
          <w:p w:rsidR="00B17BB8" w:rsidRDefault="00AB446E" w:rsidP="001433AE">
            <w:pPr>
              <w:pStyle w:val="HDbodytable"/>
              <w:ind w:left="1313" w:hanging="1313"/>
              <w:jc w:val="both"/>
              <w:rPr>
                <w:sz w:val="22"/>
                <w:szCs w:val="22"/>
              </w:rPr>
            </w:pPr>
            <w:r>
              <w:rPr>
                <w:sz w:val="22"/>
                <w:szCs w:val="22"/>
              </w:rPr>
              <w:t xml:space="preserve">Objective 1 </w:t>
            </w:r>
            <w:r w:rsidR="001433AE">
              <w:rPr>
                <w:sz w:val="22"/>
                <w:szCs w:val="22"/>
              </w:rPr>
              <w:t xml:space="preserve">  Transfer of ÚNMZ knowledge and experience in relation to participation in European standardization process and involvement in activities of technical and steering committees at national and European level. Description of position and role of ÚNMZ in the </w:t>
            </w:r>
            <w:r w:rsidR="00933510">
              <w:rPr>
                <w:sz w:val="22"/>
                <w:szCs w:val="22"/>
              </w:rPr>
              <w:t>Czech qua</w:t>
            </w:r>
            <w:r w:rsidR="001433AE">
              <w:rPr>
                <w:sz w:val="22"/>
                <w:szCs w:val="22"/>
              </w:rPr>
              <w:t xml:space="preserve">lity infrastructure system, presentation the standards development, adoption and implementation processes in the Czech Republic, including the support of active participation of ISS, as national standardization body, in activities of European technical and </w:t>
            </w:r>
            <w:r w:rsidR="001433AE">
              <w:rPr>
                <w:sz w:val="22"/>
                <w:szCs w:val="22"/>
              </w:rPr>
              <w:lastRenderedPageBreak/>
              <w:t xml:space="preserve">steering standardization committees and its full participation in European </w:t>
            </w:r>
            <w:proofErr w:type="spellStart"/>
            <w:r w:rsidR="001433AE">
              <w:rPr>
                <w:sz w:val="22"/>
                <w:szCs w:val="22"/>
              </w:rPr>
              <w:t>standatdization</w:t>
            </w:r>
            <w:proofErr w:type="spellEnd"/>
            <w:r w:rsidR="001433AE">
              <w:rPr>
                <w:sz w:val="22"/>
                <w:szCs w:val="22"/>
              </w:rPr>
              <w:t xml:space="preserve"> process.</w:t>
            </w:r>
          </w:p>
          <w:p w:rsidR="001433AE" w:rsidRDefault="00007006" w:rsidP="00BC70FD">
            <w:pPr>
              <w:pStyle w:val="HDbodytable"/>
              <w:spacing w:before="240"/>
              <w:ind w:left="1313" w:hanging="1276"/>
              <w:jc w:val="both"/>
              <w:rPr>
                <w:sz w:val="22"/>
                <w:szCs w:val="22"/>
              </w:rPr>
            </w:pPr>
            <w:r>
              <w:rPr>
                <w:sz w:val="22"/>
                <w:szCs w:val="22"/>
              </w:rPr>
              <w:t>Objec</w:t>
            </w:r>
            <w:r w:rsidR="001433AE">
              <w:rPr>
                <w:sz w:val="22"/>
                <w:szCs w:val="22"/>
              </w:rPr>
              <w:t>t</w:t>
            </w:r>
            <w:r>
              <w:rPr>
                <w:sz w:val="22"/>
                <w:szCs w:val="22"/>
              </w:rPr>
              <w:t>i</w:t>
            </w:r>
            <w:r w:rsidR="001433AE">
              <w:rPr>
                <w:sz w:val="22"/>
                <w:szCs w:val="22"/>
              </w:rPr>
              <w:t xml:space="preserve">ve 2 </w:t>
            </w:r>
            <w:r>
              <w:rPr>
                <w:sz w:val="22"/>
                <w:szCs w:val="22"/>
              </w:rPr>
              <w:t xml:space="preserve">   </w:t>
            </w:r>
            <w:r w:rsidR="001433AE">
              <w:rPr>
                <w:sz w:val="22"/>
                <w:szCs w:val="22"/>
              </w:rPr>
              <w:t xml:space="preserve">Transfer of Czech experience with </w:t>
            </w:r>
            <w:proofErr w:type="spellStart"/>
            <w:r w:rsidR="001433AE">
              <w:rPr>
                <w:sz w:val="22"/>
                <w:szCs w:val="22"/>
              </w:rPr>
              <w:t>transpozition</w:t>
            </w:r>
            <w:proofErr w:type="spellEnd"/>
            <w:r w:rsidR="001433AE">
              <w:rPr>
                <w:sz w:val="22"/>
                <w:szCs w:val="22"/>
              </w:rPr>
              <w:t xml:space="preserve"> of European legislation and application of standards in the area of </w:t>
            </w:r>
            <w:proofErr w:type="spellStart"/>
            <w:r w:rsidR="001433AE">
              <w:rPr>
                <w:sz w:val="22"/>
                <w:szCs w:val="22"/>
              </w:rPr>
              <w:t>costruction</w:t>
            </w:r>
            <w:proofErr w:type="spellEnd"/>
            <w:r w:rsidR="001433AE">
              <w:rPr>
                <w:sz w:val="22"/>
                <w:szCs w:val="22"/>
              </w:rPr>
              <w:t xml:space="preserve"> products, including</w:t>
            </w:r>
            <w:r>
              <w:rPr>
                <w:sz w:val="22"/>
                <w:szCs w:val="22"/>
              </w:rPr>
              <w:t xml:space="preserve"> presentation of specific aspects of uniform European procedures for design of building constructions – Eurocodes, in particular in the area of concrete construction, and raising of awareness of the interested subjects and expert public on these processes.</w:t>
            </w:r>
          </w:p>
          <w:p w:rsidR="00007006" w:rsidRDefault="00007006" w:rsidP="00BC70FD">
            <w:pPr>
              <w:pStyle w:val="HDbodytable"/>
              <w:spacing w:before="240"/>
              <w:ind w:left="1313" w:hanging="1276"/>
              <w:jc w:val="both"/>
              <w:rPr>
                <w:sz w:val="22"/>
                <w:szCs w:val="22"/>
              </w:rPr>
            </w:pPr>
            <w:r>
              <w:rPr>
                <w:sz w:val="22"/>
                <w:szCs w:val="22"/>
              </w:rPr>
              <w:t xml:space="preserve">Objective 3   </w:t>
            </w:r>
            <w:r w:rsidR="009A4CDD">
              <w:rPr>
                <w:sz w:val="22"/>
                <w:szCs w:val="22"/>
              </w:rPr>
              <w:t xml:space="preserve">   </w:t>
            </w:r>
            <w:r>
              <w:rPr>
                <w:sz w:val="22"/>
                <w:szCs w:val="22"/>
              </w:rPr>
              <w:t>Assistance in formulation of content and development of study on the overview of Serbian Construction Industry Sector with the link to national quality infrastructure in terms of Regulation (EU) No. 305/2011 (CPR) implementation impacts.</w:t>
            </w:r>
          </w:p>
          <w:p w:rsidR="00007006" w:rsidRPr="00B17BB8" w:rsidRDefault="00007006" w:rsidP="00335D45">
            <w:pPr>
              <w:pStyle w:val="HDbodytable"/>
              <w:jc w:val="both"/>
              <w:rPr>
                <w:sz w:val="22"/>
                <w:szCs w:val="22"/>
              </w:rPr>
            </w:pPr>
          </w:p>
        </w:tc>
        <w:tc>
          <w:tcPr>
            <w:tcW w:w="2677" w:type="pct"/>
            <w:gridSpan w:val="5"/>
            <w:tcBorders>
              <w:top w:val="single" w:sz="6" w:space="0" w:color="auto"/>
              <w:left w:val="single" w:sz="8" w:space="0" w:color="auto"/>
              <w:bottom w:val="single" w:sz="12" w:space="0" w:color="auto"/>
              <w:right w:val="single" w:sz="12" w:space="0" w:color="auto"/>
            </w:tcBorders>
          </w:tcPr>
          <w:p w:rsidR="00BA067C" w:rsidRPr="002C33C1" w:rsidRDefault="00007006" w:rsidP="002C33C1">
            <w:pPr>
              <w:pStyle w:val="Odstavecseseznamem"/>
              <w:spacing w:before="240" w:after="60"/>
              <w:ind w:left="170"/>
              <w:jc w:val="both"/>
              <w:rPr>
                <w:b/>
                <w:lang w:val="en-GB"/>
              </w:rPr>
            </w:pPr>
            <w:r w:rsidRPr="002C33C1">
              <w:rPr>
                <w:b/>
                <w:lang w:val="en-GB"/>
              </w:rPr>
              <w:lastRenderedPageBreak/>
              <w:t>Building up more expertise of ISS workers and members of technical and steering standardization committees in relation to participation in European</w:t>
            </w:r>
            <w:r w:rsidR="002C33C1" w:rsidRPr="002C33C1">
              <w:rPr>
                <w:b/>
                <w:lang w:val="en-GB"/>
              </w:rPr>
              <w:t xml:space="preserve"> standardization process and application of European harmonized standards and procedures</w:t>
            </w:r>
            <w:r w:rsidR="00933510">
              <w:rPr>
                <w:b/>
                <w:lang w:val="en-GB"/>
              </w:rPr>
              <w:t xml:space="preserve"> with link to construction produ</w:t>
            </w:r>
            <w:r w:rsidR="002C33C1" w:rsidRPr="002C33C1">
              <w:rPr>
                <w:b/>
                <w:lang w:val="en-GB"/>
              </w:rPr>
              <w:t>cts.</w:t>
            </w:r>
          </w:p>
          <w:p w:rsidR="002C33C1" w:rsidRPr="002C33C1" w:rsidRDefault="002C33C1" w:rsidP="00256B19">
            <w:pPr>
              <w:pStyle w:val="Odstavecseseznamem"/>
              <w:spacing w:after="60"/>
              <w:ind w:left="170"/>
              <w:jc w:val="both"/>
              <w:rPr>
                <w:b/>
                <w:lang w:val="en-GB"/>
              </w:rPr>
            </w:pPr>
          </w:p>
          <w:p w:rsidR="002C33C1" w:rsidRPr="002C33C1" w:rsidRDefault="002C33C1" w:rsidP="00256B19">
            <w:pPr>
              <w:pStyle w:val="Odstavecseseznamem"/>
              <w:spacing w:after="60"/>
              <w:ind w:left="170"/>
              <w:jc w:val="both"/>
              <w:rPr>
                <w:b/>
                <w:lang w:val="en-GB"/>
              </w:rPr>
            </w:pPr>
            <w:r w:rsidRPr="002C33C1">
              <w:rPr>
                <w:b/>
                <w:lang w:val="en-GB"/>
              </w:rPr>
              <w:t>Raising of awareness of interested parties a</w:t>
            </w:r>
            <w:r w:rsidR="009355FA">
              <w:rPr>
                <w:b/>
                <w:lang w:val="en-GB"/>
              </w:rPr>
              <w:t>nd expert public on European leg</w:t>
            </w:r>
            <w:bookmarkStart w:id="0" w:name="_GoBack"/>
            <w:bookmarkEnd w:id="0"/>
            <w:r w:rsidRPr="002C33C1">
              <w:rPr>
                <w:b/>
                <w:lang w:val="en-GB"/>
              </w:rPr>
              <w:t>islation and standards in the area of construction products and specific aspects of their implementation and application.</w:t>
            </w:r>
          </w:p>
          <w:p w:rsidR="002C33C1" w:rsidRPr="002C33C1" w:rsidRDefault="002C33C1" w:rsidP="00256B19">
            <w:pPr>
              <w:pStyle w:val="Odstavecseseznamem"/>
              <w:spacing w:after="60"/>
              <w:ind w:left="170"/>
              <w:jc w:val="both"/>
              <w:rPr>
                <w:b/>
                <w:lang w:val="en-GB"/>
              </w:rPr>
            </w:pPr>
          </w:p>
          <w:p w:rsidR="002C33C1" w:rsidRPr="00624CD2" w:rsidRDefault="002C33C1" w:rsidP="00256B19">
            <w:pPr>
              <w:pStyle w:val="Odstavecseseznamem"/>
              <w:spacing w:after="60"/>
              <w:ind w:left="170"/>
              <w:jc w:val="both"/>
              <w:rPr>
                <w:lang w:val="en-GB"/>
              </w:rPr>
            </w:pPr>
            <w:r w:rsidRPr="002C33C1">
              <w:rPr>
                <w:b/>
                <w:lang w:val="en-GB"/>
              </w:rPr>
              <w:t>Formulation of the content and scope of overview study on CPR implementation impact on Serbian construction industry.</w:t>
            </w:r>
          </w:p>
        </w:tc>
      </w:tr>
    </w:tbl>
    <w:p w:rsidR="00376760" w:rsidRPr="00624CD2" w:rsidRDefault="00376760" w:rsidP="00376760">
      <w:pPr>
        <w:spacing w:after="60"/>
        <w:jc w:val="both"/>
      </w:pPr>
    </w:p>
    <w:sectPr w:rsidR="00376760" w:rsidRPr="00624CD2" w:rsidSect="003E7355">
      <w:pgSz w:w="16839" w:h="11907" w:orient="landscape" w:code="9"/>
      <w:pgMar w:top="720" w:right="124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707"/>
    <w:multiLevelType w:val="hybridMultilevel"/>
    <w:tmpl w:val="77544E1E"/>
    <w:lvl w:ilvl="0" w:tplc="04050001">
      <w:start w:val="1"/>
      <w:numFmt w:val="bullet"/>
      <w:lvlText w:val=""/>
      <w:lvlJc w:val="left"/>
      <w:pPr>
        <w:ind w:left="530" w:hanging="360"/>
      </w:pPr>
      <w:rPr>
        <w:rFonts w:ascii="Symbol" w:hAnsi="Symbo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1" w15:restartNumberingAfterBreak="0">
    <w:nsid w:val="21BC6428"/>
    <w:multiLevelType w:val="hybridMultilevel"/>
    <w:tmpl w:val="59EACE72"/>
    <w:lvl w:ilvl="0" w:tplc="04050001">
      <w:start w:val="1"/>
      <w:numFmt w:val="bullet"/>
      <w:lvlText w:val=""/>
      <w:lvlJc w:val="left"/>
      <w:pPr>
        <w:ind w:left="530" w:hanging="360"/>
      </w:pPr>
      <w:rPr>
        <w:rFonts w:ascii="Symbol" w:hAnsi="Symbo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2" w15:restartNumberingAfterBreak="0">
    <w:nsid w:val="2D851062"/>
    <w:multiLevelType w:val="hybridMultilevel"/>
    <w:tmpl w:val="202E0FA0"/>
    <w:lvl w:ilvl="0" w:tplc="86887ECE">
      <w:start w:val="1"/>
      <w:numFmt w:val="bullet"/>
      <w:lvlText w:val=""/>
      <w:lvlJc w:val="left"/>
      <w:pPr>
        <w:ind w:left="340" w:hanging="17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D65B68"/>
    <w:multiLevelType w:val="hybridMultilevel"/>
    <w:tmpl w:val="F7F61A7E"/>
    <w:lvl w:ilvl="0" w:tplc="04050001">
      <w:start w:val="1"/>
      <w:numFmt w:val="bullet"/>
      <w:lvlText w:val=""/>
      <w:lvlJc w:val="left"/>
      <w:pPr>
        <w:ind w:left="530" w:hanging="360"/>
      </w:pPr>
      <w:rPr>
        <w:rFonts w:ascii="Symbol" w:hAnsi="Symbo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4" w15:restartNumberingAfterBreak="0">
    <w:nsid w:val="44E0139A"/>
    <w:multiLevelType w:val="hybridMultilevel"/>
    <w:tmpl w:val="A7249A38"/>
    <w:lvl w:ilvl="0" w:tplc="04050005">
      <w:start w:val="1"/>
      <w:numFmt w:val="bullet"/>
      <w:lvlText w:val=""/>
      <w:lvlJc w:val="left"/>
      <w:pPr>
        <w:ind w:left="170" w:hanging="17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BE3FCF"/>
    <w:multiLevelType w:val="hybridMultilevel"/>
    <w:tmpl w:val="4E00A476"/>
    <w:lvl w:ilvl="0" w:tplc="04050001">
      <w:start w:val="1"/>
      <w:numFmt w:val="bullet"/>
      <w:lvlText w:val=""/>
      <w:lvlJc w:val="left"/>
      <w:pPr>
        <w:ind w:left="530" w:hanging="360"/>
      </w:pPr>
      <w:rPr>
        <w:rFonts w:ascii="Symbol" w:hAnsi="Symbo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7C"/>
    <w:rsid w:val="00007006"/>
    <w:rsid w:val="00096569"/>
    <w:rsid w:val="000972E3"/>
    <w:rsid w:val="001433AE"/>
    <w:rsid w:val="0019546E"/>
    <w:rsid w:val="001A2797"/>
    <w:rsid w:val="001D03EB"/>
    <w:rsid w:val="00232E2A"/>
    <w:rsid w:val="00256B19"/>
    <w:rsid w:val="0026557A"/>
    <w:rsid w:val="002C33C1"/>
    <w:rsid w:val="002C4206"/>
    <w:rsid w:val="003100F6"/>
    <w:rsid w:val="00322A36"/>
    <w:rsid w:val="00335D45"/>
    <w:rsid w:val="00376760"/>
    <w:rsid w:val="003C0DE7"/>
    <w:rsid w:val="003E7355"/>
    <w:rsid w:val="00563E33"/>
    <w:rsid w:val="00624CD2"/>
    <w:rsid w:val="00631229"/>
    <w:rsid w:val="0068545A"/>
    <w:rsid w:val="0069188A"/>
    <w:rsid w:val="006B625B"/>
    <w:rsid w:val="00763DFF"/>
    <w:rsid w:val="007D7A8C"/>
    <w:rsid w:val="008B1672"/>
    <w:rsid w:val="00932BFE"/>
    <w:rsid w:val="00933510"/>
    <w:rsid w:val="009355FA"/>
    <w:rsid w:val="00975D2C"/>
    <w:rsid w:val="009A4CDD"/>
    <w:rsid w:val="009B3BD8"/>
    <w:rsid w:val="00A31482"/>
    <w:rsid w:val="00A46ADC"/>
    <w:rsid w:val="00A63020"/>
    <w:rsid w:val="00A92E94"/>
    <w:rsid w:val="00AB446E"/>
    <w:rsid w:val="00AF7F19"/>
    <w:rsid w:val="00B17BB8"/>
    <w:rsid w:val="00BA067C"/>
    <w:rsid w:val="00BC70FD"/>
    <w:rsid w:val="00C811C7"/>
    <w:rsid w:val="00C829F2"/>
    <w:rsid w:val="00C931D7"/>
    <w:rsid w:val="00CF7C3A"/>
    <w:rsid w:val="00D631B8"/>
    <w:rsid w:val="00DE5950"/>
    <w:rsid w:val="00DE71F0"/>
    <w:rsid w:val="00E01FD1"/>
    <w:rsid w:val="00F70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F9661-024A-40B7-B149-0FD1691F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67C"/>
    <w:pPr>
      <w:spacing w:after="240" w:line="240" w:lineRule="auto"/>
    </w:pPr>
    <w:rPr>
      <w:rFonts w:ascii="Arial" w:eastAsia="Times New Roman" w:hAnsi="Arial" w:cs="Times New Roman"/>
      <w:sz w:val="20"/>
      <w:szCs w:val="20"/>
      <w:lang w:val="en-GB" w:eastAsia="en-GB"/>
    </w:rPr>
  </w:style>
  <w:style w:type="paragraph" w:styleId="Nadpis1">
    <w:name w:val="heading 1"/>
    <w:basedOn w:val="Normln"/>
    <w:next w:val="Normln"/>
    <w:link w:val="Nadpis1Char"/>
    <w:uiPriority w:val="9"/>
    <w:qFormat/>
    <w:rsid w:val="00BA0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nexetitle">
    <w:name w:val="Annexe_title"/>
    <w:basedOn w:val="Nadpis1"/>
    <w:next w:val="Normln"/>
    <w:autoRedefine/>
    <w:rsid w:val="00BA067C"/>
    <w:pPr>
      <w:keepNext w:val="0"/>
      <w:keepLines w:val="0"/>
      <w:pageBreakBefore/>
      <w:tabs>
        <w:tab w:val="left" w:pos="1701"/>
        <w:tab w:val="left" w:pos="2552"/>
      </w:tabs>
      <w:spacing w:before="0"/>
      <w:jc w:val="center"/>
      <w:outlineLvl w:val="9"/>
    </w:pPr>
    <w:rPr>
      <w:rFonts w:ascii="Garamond" w:eastAsia="Times New Roman" w:hAnsi="Garamond" w:cs="Times New Roman"/>
      <w:b/>
      <w:caps/>
      <w:noProof/>
      <w:color w:val="auto"/>
      <w:sz w:val="20"/>
      <w:szCs w:val="20"/>
    </w:rPr>
  </w:style>
  <w:style w:type="paragraph" w:customStyle="1" w:styleId="HDbodytable">
    <w:name w:val="HD body table"/>
    <w:basedOn w:val="Normln"/>
    <w:qFormat/>
    <w:rsid w:val="00BA067C"/>
    <w:pPr>
      <w:spacing w:after="0"/>
    </w:pPr>
    <w:rPr>
      <w:rFonts w:ascii="Calibri" w:hAnsi="Calibri" w:cs="Arial"/>
    </w:rPr>
  </w:style>
  <w:style w:type="paragraph" w:styleId="Odstavecseseznamem">
    <w:name w:val="List Paragraph"/>
    <w:basedOn w:val="Normln"/>
    <w:uiPriority w:val="34"/>
    <w:qFormat/>
    <w:rsid w:val="00BA067C"/>
    <w:pPr>
      <w:spacing w:after="0"/>
      <w:ind w:left="720"/>
      <w:contextualSpacing/>
    </w:pPr>
    <w:rPr>
      <w:rFonts w:ascii="Calibri" w:eastAsia="Calibri" w:hAnsi="Calibri"/>
      <w:sz w:val="22"/>
      <w:szCs w:val="22"/>
      <w:lang w:val="cs-CZ" w:eastAsia="en-US"/>
    </w:rPr>
  </w:style>
  <w:style w:type="character" w:customStyle="1" w:styleId="Nadpis1Char">
    <w:name w:val="Nadpis 1 Char"/>
    <w:basedOn w:val="Standardnpsmoodstavce"/>
    <w:link w:val="Nadpis1"/>
    <w:uiPriority w:val="9"/>
    <w:rsid w:val="00BA067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2741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UNMZ</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Skopalová Markéta</dc:creator>
  <cp:keywords/>
  <dc:description/>
  <cp:lastModifiedBy>Stejskalová Iva</cp:lastModifiedBy>
  <cp:revision>3</cp:revision>
  <dcterms:created xsi:type="dcterms:W3CDTF">2019-02-11T11:03:00Z</dcterms:created>
  <dcterms:modified xsi:type="dcterms:W3CDTF">2019-12-06T12:44:00Z</dcterms:modified>
</cp:coreProperties>
</file>