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7C" w:rsidRPr="00624CD2" w:rsidRDefault="00763DFF" w:rsidP="00BA067C">
      <w:pPr>
        <w:spacing w:before="120" w:after="120"/>
        <w:jc w:val="both"/>
        <w:rPr>
          <w:rFonts w:asciiTheme="minorHAnsi" w:hAnsiTheme="minorHAnsi"/>
          <w:b/>
          <w:sz w:val="22"/>
          <w:szCs w:val="24"/>
          <w:lang w:eastAsia="cs-CZ"/>
        </w:rPr>
      </w:pPr>
      <w:r w:rsidRPr="00624CD2">
        <w:rPr>
          <w:rFonts w:asciiTheme="minorHAnsi" w:hAnsiTheme="minorHAnsi"/>
          <w:b/>
          <w:sz w:val="22"/>
          <w:szCs w:val="24"/>
          <w:lang w:eastAsia="cs-CZ"/>
        </w:rPr>
        <w:t>Republic of Serbia</w:t>
      </w:r>
      <w:r w:rsidR="00BA067C" w:rsidRPr="00624CD2">
        <w:rPr>
          <w:rFonts w:asciiTheme="minorHAnsi" w:hAnsiTheme="minorHAnsi"/>
          <w:b/>
          <w:sz w:val="22"/>
          <w:szCs w:val="24"/>
          <w:lang w:eastAsia="cs-CZ"/>
        </w:rPr>
        <w:t xml:space="preserve"> – </w:t>
      </w:r>
      <w:r w:rsidRPr="00624CD2">
        <w:rPr>
          <w:rFonts w:asciiTheme="minorHAnsi" w:hAnsiTheme="minorHAnsi"/>
          <w:b/>
          <w:sz w:val="22"/>
          <w:szCs w:val="24"/>
          <w:lang w:eastAsia="cs-CZ"/>
        </w:rPr>
        <w:t>P</w:t>
      </w:r>
      <w:r w:rsidR="00BA067C" w:rsidRPr="00624CD2">
        <w:rPr>
          <w:rFonts w:asciiTheme="minorHAnsi" w:hAnsiTheme="minorHAnsi"/>
          <w:b/>
          <w:sz w:val="22"/>
          <w:szCs w:val="24"/>
          <w:lang w:eastAsia="cs-CZ"/>
        </w:rPr>
        <w:t>rogram Aid for Trade</w:t>
      </w:r>
    </w:p>
    <w:p w:rsidR="00BA067C" w:rsidRPr="00624CD2" w:rsidRDefault="00763DFF" w:rsidP="00BA067C">
      <w:pPr>
        <w:ind w:right="-319"/>
        <w:jc w:val="both"/>
        <w:rPr>
          <w:rFonts w:asciiTheme="minorHAnsi" w:hAnsiTheme="minorHAnsi"/>
          <w:sz w:val="18"/>
        </w:rPr>
      </w:pPr>
      <w:r w:rsidRPr="00624CD2">
        <w:rPr>
          <w:rFonts w:asciiTheme="minorHAnsi" w:hAnsiTheme="minorHAnsi"/>
          <w:sz w:val="22"/>
          <w:szCs w:val="24"/>
          <w:lang w:eastAsia="cs-CZ"/>
        </w:rPr>
        <w:t xml:space="preserve">The Czech Office for Standards, Metrology and Testing (ÚNMZ) </w:t>
      </w:r>
      <w:r w:rsidR="006B625B">
        <w:rPr>
          <w:rFonts w:asciiTheme="minorHAnsi" w:hAnsiTheme="minorHAnsi"/>
          <w:sz w:val="22"/>
          <w:szCs w:val="24"/>
          <w:lang w:eastAsia="cs-CZ"/>
        </w:rPr>
        <w:t>implemented</w:t>
      </w:r>
      <w:r w:rsidRPr="00624CD2">
        <w:rPr>
          <w:rFonts w:asciiTheme="minorHAnsi" w:hAnsiTheme="minorHAnsi"/>
          <w:sz w:val="22"/>
          <w:szCs w:val="24"/>
          <w:lang w:eastAsia="cs-CZ"/>
        </w:rPr>
        <w:t xml:space="preserve"> </w:t>
      </w:r>
      <w:r w:rsidR="003100F6" w:rsidRPr="00624CD2">
        <w:rPr>
          <w:rFonts w:asciiTheme="minorHAnsi" w:hAnsiTheme="minorHAnsi"/>
          <w:sz w:val="22"/>
          <w:szCs w:val="24"/>
          <w:lang w:eastAsia="cs-CZ"/>
        </w:rPr>
        <w:t xml:space="preserve">a </w:t>
      </w:r>
      <w:r w:rsidR="009B3BD8" w:rsidRPr="00624CD2">
        <w:rPr>
          <w:rFonts w:asciiTheme="minorHAnsi" w:hAnsiTheme="minorHAnsi"/>
          <w:sz w:val="22"/>
          <w:szCs w:val="24"/>
          <w:lang w:eastAsia="cs-CZ"/>
        </w:rPr>
        <w:t xml:space="preserve">Czech </w:t>
      </w:r>
      <w:r w:rsidR="003100F6" w:rsidRPr="00624CD2">
        <w:rPr>
          <w:rFonts w:asciiTheme="minorHAnsi" w:hAnsiTheme="minorHAnsi"/>
          <w:sz w:val="22"/>
          <w:szCs w:val="24"/>
          <w:lang w:eastAsia="cs-CZ"/>
        </w:rPr>
        <w:t>Official Development Aid</w:t>
      </w:r>
      <w:r w:rsidRPr="00624CD2">
        <w:rPr>
          <w:rFonts w:asciiTheme="minorHAnsi" w:hAnsiTheme="minorHAnsi"/>
          <w:sz w:val="22"/>
          <w:szCs w:val="24"/>
          <w:lang w:eastAsia="cs-CZ"/>
        </w:rPr>
        <w:t xml:space="preserve"> </w:t>
      </w:r>
      <w:r w:rsidR="003100F6" w:rsidRPr="00624CD2">
        <w:rPr>
          <w:rFonts w:asciiTheme="minorHAnsi" w:hAnsiTheme="minorHAnsi"/>
          <w:sz w:val="22"/>
          <w:szCs w:val="24"/>
          <w:lang w:eastAsia="cs-CZ"/>
        </w:rPr>
        <w:t>p</w:t>
      </w:r>
      <w:r w:rsidRPr="00624CD2">
        <w:rPr>
          <w:rFonts w:asciiTheme="minorHAnsi" w:hAnsiTheme="minorHAnsi"/>
          <w:sz w:val="22"/>
          <w:szCs w:val="24"/>
          <w:lang w:eastAsia="cs-CZ"/>
        </w:rPr>
        <w:t>roject</w:t>
      </w:r>
      <w:r w:rsidR="009B3BD8" w:rsidRPr="00624CD2">
        <w:rPr>
          <w:rFonts w:asciiTheme="minorHAnsi" w:hAnsiTheme="minorHAnsi"/>
          <w:sz w:val="22"/>
          <w:szCs w:val="24"/>
          <w:lang w:eastAsia="cs-CZ"/>
        </w:rPr>
        <w:t xml:space="preserve"> in Serbia</w:t>
      </w:r>
      <w:r w:rsidRPr="00624CD2">
        <w:rPr>
          <w:rFonts w:asciiTheme="minorHAnsi" w:hAnsiTheme="minorHAnsi"/>
          <w:sz w:val="22"/>
          <w:szCs w:val="24"/>
          <w:lang w:eastAsia="cs-CZ"/>
        </w:rPr>
        <w:t xml:space="preserve"> </w:t>
      </w:r>
      <w:r w:rsidR="009B3BD8" w:rsidRPr="00624CD2">
        <w:rPr>
          <w:rFonts w:asciiTheme="minorHAnsi" w:hAnsiTheme="minorHAnsi"/>
          <w:sz w:val="22"/>
          <w:szCs w:val="24"/>
          <w:lang w:eastAsia="cs-CZ"/>
        </w:rPr>
        <w:t xml:space="preserve">titled </w:t>
      </w:r>
      <w:r w:rsidR="009B3BD8" w:rsidRPr="00624CD2">
        <w:rPr>
          <w:rFonts w:asciiTheme="minorHAnsi" w:hAnsiTheme="minorHAnsi"/>
          <w:b/>
          <w:sz w:val="22"/>
          <w:szCs w:val="24"/>
          <w:lang w:eastAsia="cs-CZ"/>
        </w:rPr>
        <w:t>„Quality Infrastructure Development – Enhancing of Competitiveness of Serbian Companies“</w:t>
      </w:r>
      <w:r w:rsidR="009B3BD8" w:rsidRPr="00624CD2">
        <w:rPr>
          <w:rFonts w:asciiTheme="minorHAnsi" w:hAnsiTheme="minorHAnsi"/>
          <w:sz w:val="22"/>
          <w:szCs w:val="24"/>
          <w:lang w:eastAsia="cs-CZ"/>
        </w:rPr>
        <w:t>.</w:t>
      </w:r>
    </w:p>
    <w:tbl>
      <w:tblPr>
        <w:tblW w:w="5132"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25"/>
        <w:gridCol w:w="1417"/>
        <w:gridCol w:w="993"/>
        <w:gridCol w:w="1277"/>
        <w:gridCol w:w="852"/>
        <w:gridCol w:w="706"/>
        <w:gridCol w:w="1701"/>
        <w:gridCol w:w="1985"/>
        <w:gridCol w:w="1561"/>
        <w:gridCol w:w="1727"/>
      </w:tblGrid>
      <w:tr w:rsidR="00BA067C" w:rsidRPr="00624CD2" w:rsidTr="009C0318">
        <w:trPr>
          <w:cantSplit/>
          <w:trHeight w:val="678"/>
        </w:trPr>
        <w:tc>
          <w:tcPr>
            <w:tcW w:w="741" w:type="pct"/>
            <w:tcBorders>
              <w:top w:val="single" w:sz="12" w:space="0" w:color="auto"/>
              <w:left w:val="single" w:sz="12" w:space="0" w:color="auto"/>
            </w:tcBorders>
            <w:shd w:val="clear" w:color="auto" w:fill="F2F2F2" w:themeFill="background1" w:themeFillShade="F2"/>
            <w:vAlign w:val="center"/>
          </w:tcPr>
          <w:p w:rsidR="00BA067C" w:rsidRPr="00624CD2" w:rsidRDefault="00C811C7" w:rsidP="009C0318">
            <w:pPr>
              <w:tabs>
                <w:tab w:val="num" w:pos="540"/>
              </w:tabs>
              <w:spacing w:after="0"/>
              <w:jc w:val="center"/>
              <w:rPr>
                <w:rFonts w:ascii="Calibri" w:hAnsi="Calibri" w:cs="Arial"/>
                <w:b/>
                <w:bCs/>
                <w:sz w:val="22"/>
                <w:szCs w:val="22"/>
              </w:rPr>
            </w:pPr>
            <w:r w:rsidRPr="00624CD2">
              <w:rPr>
                <w:rFonts w:ascii="Calibri" w:hAnsi="Calibri" w:cs="Arial"/>
                <w:b/>
                <w:bCs/>
                <w:sz w:val="22"/>
                <w:szCs w:val="22"/>
              </w:rPr>
              <w:t>Project title</w:t>
            </w:r>
          </w:p>
        </w:tc>
        <w:tc>
          <w:tcPr>
            <w:tcW w:w="4259" w:type="pct"/>
            <w:gridSpan w:val="9"/>
            <w:tcBorders>
              <w:top w:val="single" w:sz="12" w:space="0" w:color="auto"/>
              <w:right w:val="single" w:sz="12" w:space="0" w:color="auto"/>
            </w:tcBorders>
            <w:shd w:val="clear" w:color="auto" w:fill="auto"/>
            <w:vAlign w:val="center"/>
          </w:tcPr>
          <w:p w:rsidR="00BA067C" w:rsidRPr="00624CD2" w:rsidRDefault="00C811C7" w:rsidP="009C0318">
            <w:pPr>
              <w:pStyle w:val="Annexetitle"/>
              <w:rPr>
                <w:rFonts w:ascii="Calibri" w:hAnsi="Calibri"/>
                <w:sz w:val="22"/>
                <w:szCs w:val="22"/>
              </w:rPr>
            </w:pPr>
            <w:r w:rsidRPr="00624CD2">
              <w:rPr>
                <w:rFonts w:asciiTheme="minorHAnsi" w:hAnsiTheme="minorHAnsi"/>
                <w:sz w:val="22"/>
                <w:szCs w:val="24"/>
                <w:lang w:eastAsia="cs-CZ"/>
              </w:rPr>
              <w:t>Aid for Trade Program – Serbia „Quality Infrastructure Development – Enhancing of Competitiveness of Serbian Companies“</w:t>
            </w:r>
          </w:p>
        </w:tc>
      </w:tr>
      <w:tr w:rsidR="00BA067C" w:rsidRPr="00624CD2" w:rsidTr="009C0318">
        <w:trPr>
          <w:cantSplit/>
        </w:trPr>
        <w:tc>
          <w:tcPr>
            <w:tcW w:w="741" w:type="pct"/>
            <w:tcBorders>
              <w:left w:val="single" w:sz="12" w:space="0" w:color="auto"/>
            </w:tcBorders>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legal entity</w:t>
            </w:r>
          </w:p>
        </w:tc>
        <w:tc>
          <w:tcPr>
            <w:tcW w:w="494"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Calibri" w:hAnsi="Calibri"/>
                <w:b/>
                <w:sz w:val="22"/>
                <w:szCs w:val="22"/>
              </w:rPr>
              <w:t>Beneficiary country</w:t>
            </w:r>
          </w:p>
        </w:tc>
        <w:tc>
          <w:tcPr>
            <w:tcW w:w="346" w:type="pct"/>
            <w:shd w:val="pct5" w:color="auto" w:fill="FFFFFF"/>
            <w:vAlign w:val="center"/>
          </w:tcPr>
          <w:p w:rsidR="00BA067C" w:rsidRPr="00624CD2" w:rsidRDefault="00A92E94" w:rsidP="0019546E">
            <w:pPr>
              <w:widowControl w:val="0"/>
              <w:spacing w:after="0"/>
              <w:jc w:val="center"/>
              <w:rPr>
                <w:rFonts w:ascii="Calibri" w:hAnsi="Calibri"/>
                <w:b/>
                <w:sz w:val="22"/>
                <w:szCs w:val="22"/>
              </w:rPr>
            </w:pPr>
            <w:r w:rsidRPr="00DB5DAE">
              <w:rPr>
                <w:rFonts w:asciiTheme="minorHAnsi" w:hAnsiTheme="minorHAnsi"/>
                <w:b/>
                <w:sz w:val="22"/>
                <w:szCs w:val="22"/>
              </w:rPr>
              <w:t xml:space="preserve">Total project budget </w:t>
            </w:r>
          </w:p>
        </w:tc>
        <w:tc>
          <w:tcPr>
            <w:tcW w:w="445"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Proportion carried out by legal entity (%)</w:t>
            </w:r>
          </w:p>
        </w:tc>
        <w:tc>
          <w:tcPr>
            <w:tcW w:w="543" w:type="pct"/>
            <w:gridSpan w:val="2"/>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No of staff provided</w:t>
            </w:r>
          </w:p>
        </w:tc>
        <w:tc>
          <w:tcPr>
            <w:tcW w:w="593"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client</w:t>
            </w:r>
          </w:p>
        </w:tc>
        <w:tc>
          <w:tcPr>
            <w:tcW w:w="692"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Origin of funding</w:t>
            </w:r>
          </w:p>
        </w:tc>
        <w:tc>
          <w:tcPr>
            <w:tcW w:w="544" w:type="pct"/>
            <w:shd w:val="pct5" w:color="auto" w:fill="FFFFFF"/>
            <w:vAlign w:val="center"/>
          </w:tcPr>
          <w:p w:rsidR="00BA067C" w:rsidRPr="00624CD2" w:rsidRDefault="00C811C7" w:rsidP="00C811C7">
            <w:pPr>
              <w:widowControl w:val="0"/>
              <w:spacing w:after="0"/>
              <w:jc w:val="center"/>
              <w:rPr>
                <w:rFonts w:ascii="Calibri" w:hAnsi="Calibri"/>
                <w:b/>
                <w:sz w:val="22"/>
                <w:szCs w:val="22"/>
              </w:rPr>
            </w:pPr>
            <w:r w:rsidRPr="00624CD2">
              <w:rPr>
                <w:rFonts w:asciiTheme="minorHAnsi" w:hAnsiTheme="minorHAnsi"/>
                <w:b/>
                <w:sz w:val="22"/>
                <w:szCs w:val="22"/>
              </w:rPr>
              <w:t>Dates (start-end)</w:t>
            </w:r>
          </w:p>
        </w:tc>
        <w:tc>
          <w:tcPr>
            <w:tcW w:w="602" w:type="pct"/>
            <w:tcBorders>
              <w:right w:val="single" w:sz="12" w:space="0" w:color="auto"/>
            </w:tcBorders>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consortium members, if any</w:t>
            </w:r>
          </w:p>
        </w:tc>
      </w:tr>
      <w:tr w:rsidR="00BA067C" w:rsidRPr="00624CD2" w:rsidTr="009C0318">
        <w:trPr>
          <w:cantSplit/>
        </w:trPr>
        <w:tc>
          <w:tcPr>
            <w:tcW w:w="741" w:type="pct"/>
            <w:tcBorders>
              <w:left w:val="single" w:sz="12" w:space="0" w:color="auto"/>
            </w:tcBorders>
            <w:vAlign w:val="center"/>
          </w:tcPr>
          <w:p w:rsidR="00BA067C" w:rsidRPr="00624CD2" w:rsidRDefault="00BA067C" w:rsidP="009C0318">
            <w:pPr>
              <w:widowControl w:val="0"/>
              <w:spacing w:after="0"/>
              <w:jc w:val="center"/>
              <w:rPr>
                <w:rFonts w:ascii="Calibri" w:hAnsi="Calibri" w:cs="Arial"/>
                <w:sz w:val="22"/>
                <w:szCs w:val="22"/>
              </w:rPr>
            </w:pPr>
          </w:p>
          <w:p w:rsidR="00BA067C" w:rsidRPr="00624CD2" w:rsidRDefault="00BA067C" w:rsidP="009C0318">
            <w:pPr>
              <w:widowControl w:val="0"/>
              <w:spacing w:after="0"/>
              <w:jc w:val="center"/>
              <w:rPr>
                <w:rFonts w:ascii="Calibri" w:hAnsi="Calibri" w:cs="Arial"/>
                <w:sz w:val="22"/>
                <w:szCs w:val="22"/>
              </w:rPr>
            </w:pPr>
            <w:r w:rsidRPr="00624CD2">
              <w:rPr>
                <w:rFonts w:ascii="Calibri" w:hAnsi="Calibri" w:cs="Arial"/>
                <w:noProof/>
                <w:sz w:val="22"/>
                <w:szCs w:val="22"/>
                <w:lang w:val="cs-CZ" w:eastAsia="cs-CZ"/>
              </w:rPr>
              <w:drawing>
                <wp:inline distT="0" distB="0" distL="0" distR="0" wp14:anchorId="2B143089" wp14:editId="4096AEC4">
                  <wp:extent cx="1224915" cy="431165"/>
                  <wp:effectExtent l="0" t="0" r="0" b="6985"/>
                  <wp:docPr id="2" name="Obrázek 2" descr="Logo UN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p w:rsidR="00BA067C" w:rsidRPr="00624CD2" w:rsidRDefault="00BA067C" w:rsidP="009C0318">
            <w:pPr>
              <w:widowControl w:val="0"/>
              <w:spacing w:after="0"/>
              <w:jc w:val="center"/>
              <w:rPr>
                <w:rFonts w:ascii="Calibri" w:hAnsi="Calibri" w:cs="Arial"/>
                <w:sz w:val="22"/>
                <w:szCs w:val="22"/>
              </w:rPr>
            </w:pPr>
          </w:p>
        </w:tc>
        <w:tc>
          <w:tcPr>
            <w:tcW w:w="494" w:type="pct"/>
            <w:vAlign w:val="center"/>
          </w:tcPr>
          <w:p w:rsidR="00BA067C" w:rsidRPr="00624CD2" w:rsidRDefault="00C811C7" w:rsidP="009C0318">
            <w:pPr>
              <w:widowControl w:val="0"/>
              <w:spacing w:after="0"/>
              <w:jc w:val="center"/>
              <w:rPr>
                <w:rFonts w:ascii="Calibri" w:hAnsi="Calibri" w:cs="Arial"/>
                <w:sz w:val="22"/>
                <w:szCs w:val="22"/>
              </w:rPr>
            </w:pPr>
            <w:r w:rsidRPr="00624CD2">
              <w:rPr>
                <w:rFonts w:ascii="Calibri" w:hAnsi="Calibri" w:cs="Arial"/>
                <w:sz w:val="22"/>
                <w:szCs w:val="22"/>
              </w:rPr>
              <w:t>Republic of Serbia</w:t>
            </w:r>
          </w:p>
        </w:tc>
        <w:tc>
          <w:tcPr>
            <w:tcW w:w="346" w:type="pct"/>
            <w:vAlign w:val="center"/>
          </w:tcPr>
          <w:p w:rsidR="00BA067C" w:rsidRPr="00624CD2" w:rsidRDefault="00BA067C" w:rsidP="009C0318">
            <w:pPr>
              <w:widowControl w:val="0"/>
              <w:spacing w:after="0"/>
              <w:jc w:val="center"/>
              <w:rPr>
                <w:rFonts w:asciiTheme="minorHAnsi" w:hAnsiTheme="minorHAnsi" w:cs="Arial"/>
                <w:sz w:val="22"/>
                <w:szCs w:val="22"/>
              </w:rPr>
            </w:pPr>
            <w:r w:rsidRPr="00624CD2">
              <w:rPr>
                <w:rFonts w:asciiTheme="minorHAnsi" w:hAnsiTheme="minorHAnsi" w:cs="Arial"/>
                <w:sz w:val="22"/>
                <w:szCs w:val="22"/>
              </w:rPr>
              <w:t>700</w:t>
            </w:r>
            <w:r w:rsidR="0019546E">
              <w:rPr>
                <w:rFonts w:asciiTheme="minorHAnsi" w:hAnsiTheme="minorHAnsi" w:cs="Arial"/>
                <w:sz w:val="22"/>
                <w:szCs w:val="22"/>
              </w:rPr>
              <w:t> </w:t>
            </w:r>
            <w:r w:rsidRPr="00624CD2">
              <w:rPr>
                <w:rFonts w:asciiTheme="minorHAnsi" w:hAnsiTheme="minorHAnsi" w:cs="Arial"/>
                <w:sz w:val="22"/>
                <w:szCs w:val="22"/>
              </w:rPr>
              <w:t>000</w:t>
            </w:r>
            <w:r w:rsidR="0019546E">
              <w:rPr>
                <w:rFonts w:asciiTheme="minorHAnsi" w:hAnsiTheme="minorHAnsi" w:cs="Arial"/>
                <w:sz w:val="22"/>
                <w:szCs w:val="22"/>
              </w:rPr>
              <w:t xml:space="preserve"> Kč</w:t>
            </w:r>
            <w:bookmarkStart w:id="0" w:name="_GoBack"/>
            <w:bookmarkEnd w:id="0"/>
          </w:p>
        </w:tc>
        <w:tc>
          <w:tcPr>
            <w:tcW w:w="445" w:type="pct"/>
            <w:vAlign w:val="center"/>
          </w:tcPr>
          <w:p w:rsidR="00BA067C" w:rsidRPr="00624CD2" w:rsidRDefault="00BA067C" w:rsidP="009C0318">
            <w:pPr>
              <w:widowControl w:val="0"/>
              <w:spacing w:after="0"/>
              <w:jc w:val="center"/>
              <w:rPr>
                <w:rFonts w:asciiTheme="minorHAnsi" w:hAnsiTheme="minorHAnsi" w:cs="Arial"/>
                <w:sz w:val="22"/>
                <w:szCs w:val="22"/>
              </w:rPr>
            </w:pPr>
            <w:r w:rsidRPr="00624CD2">
              <w:rPr>
                <w:rFonts w:asciiTheme="minorHAnsi" w:hAnsiTheme="minorHAnsi" w:cs="Arial"/>
                <w:sz w:val="22"/>
                <w:szCs w:val="22"/>
              </w:rPr>
              <w:t>100%</w:t>
            </w:r>
          </w:p>
        </w:tc>
        <w:tc>
          <w:tcPr>
            <w:tcW w:w="543" w:type="pct"/>
            <w:gridSpan w:val="2"/>
            <w:vAlign w:val="center"/>
          </w:tcPr>
          <w:p w:rsidR="00BA067C" w:rsidRPr="00624CD2" w:rsidRDefault="00BA067C" w:rsidP="009C0318">
            <w:pPr>
              <w:widowControl w:val="0"/>
              <w:spacing w:after="0"/>
              <w:jc w:val="center"/>
              <w:rPr>
                <w:rFonts w:ascii="Calibri" w:hAnsi="Calibri" w:cs="Arial"/>
                <w:sz w:val="22"/>
                <w:szCs w:val="22"/>
              </w:rPr>
            </w:pPr>
            <w:r w:rsidRPr="00624CD2">
              <w:rPr>
                <w:rFonts w:ascii="Calibri" w:hAnsi="Calibri" w:cs="Arial"/>
                <w:sz w:val="22"/>
                <w:szCs w:val="22"/>
              </w:rPr>
              <w:t>6</w:t>
            </w:r>
          </w:p>
        </w:tc>
        <w:tc>
          <w:tcPr>
            <w:tcW w:w="593" w:type="pct"/>
            <w:vAlign w:val="center"/>
          </w:tcPr>
          <w:p w:rsidR="00BA067C" w:rsidRPr="00624CD2" w:rsidRDefault="00C811C7" w:rsidP="009C0318">
            <w:pPr>
              <w:widowControl w:val="0"/>
              <w:spacing w:after="0"/>
              <w:jc w:val="center"/>
              <w:rPr>
                <w:rFonts w:ascii="Calibri" w:hAnsi="Calibri"/>
                <w:sz w:val="22"/>
                <w:szCs w:val="22"/>
              </w:rPr>
            </w:pPr>
            <w:r w:rsidRPr="00624CD2">
              <w:rPr>
                <w:rFonts w:asciiTheme="minorHAnsi" w:hAnsiTheme="minorHAnsi" w:cs="Arial"/>
                <w:sz w:val="22"/>
                <w:szCs w:val="22"/>
              </w:rPr>
              <w:t>Ministry of Economy of the Republic of Serbia</w:t>
            </w:r>
          </w:p>
        </w:tc>
        <w:tc>
          <w:tcPr>
            <w:tcW w:w="692" w:type="pct"/>
            <w:vAlign w:val="center"/>
          </w:tcPr>
          <w:p w:rsidR="00BA067C" w:rsidRPr="00624CD2" w:rsidRDefault="00C811C7" w:rsidP="009C0318">
            <w:pPr>
              <w:widowControl w:val="0"/>
              <w:spacing w:after="0"/>
              <w:jc w:val="center"/>
              <w:rPr>
                <w:rFonts w:ascii="Calibri" w:hAnsi="Calibri" w:cs="Arial"/>
                <w:sz w:val="22"/>
                <w:szCs w:val="22"/>
              </w:rPr>
            </w:pPr>
            <w:r w:rsidRPr="00624CD2">
              <w:rPr>
                <w:rFonts w:asciiTheme="minorHAnsi" w:hAnsiTheme="minorHAnsi" w:cs="Arial"/>
                <w:sz w:val="22"/>
                <w:szCs w:val="22"/>
              </w:rPr>
              <w:t>Development Aid of the Czech Republic</w:t>
            </w:r>
          </w:p>
        </w:tc>
        <w:tc>
          <w:tcPr>
            <w:tcW w:w="544" w:type="pct"/>
            <w:vAlign w:val="center"/>
          </w:tcPr>
          <w:p w:rsidR="00BA067C" w:rsidRPr="00624CD2" w:rsidRDefault="00BA067C" w:rsidP="009C0318">
            <w:pPr>
              <w:widowControl w:val="0"/>
              <w:spacing w:after="0"/>
              <w:jc w:val="center"/>
              <w:rPr>
                <w:rFonts w:asciiTheme="minorHAnsi" w:hAnsiTheme="minorHAnsi" w:cs="Arial"/>
                <w:sz w:val="22"/>
                <w:szCs w:val="22"/>
              </w:rPr>
            </w:pPr>
            <w:r w:rsidRPr="00624CD2">
              <w:rPr>
                <w:rFonts w:asciiTheme="minorHAnsi" w:hAnsiTheme="minorHAnsi" w:cs="Arial"/>
                <w:sz w:val="22"/>
                <w:szCs w:val="22"/>
              </w:rPr>
              <w:t xml:space="preserve">  06/2015 - 11/2015</w:t>
            </w:r>
          </w:p>
        </w:tc>
        <w:tc>
          <w:tcPr>
            <w:tcW w:w="602" w:type="pct"/>
            <w:tcBorders>
              <w:right w:val="single" w:sz="12" w:space="0" w:color="auto"/>
            </w:tcBorders>
            <w:vAlign w:val="center"/>
          </w:tcPr>
          <w:p w:rsidR="00BA067C" w:rsidRPr="00624CD2" w:rsidRDefault="00BA067C" w:rsidP="009C0318">
            <w:pPr>
              <w:widowControl w:val="0"/>
              <w:spacing w:after="0"/>
              <w:jc w:val="center"/>
              <w:rPr>
                <w:rFonts w:asciiTheme="minorHAnsi" w:hAnsiTheme="minorHAnsi" w:cs="Arial"/>
                <w:sz w:val="22"/>
                <w:szCs w:val="22"/>
              </w:rPr>
            </w:pPr>
            <w:r w:rsidRPr="00624CD2">
              <w:rPr>
                <w:rFonts w:asciiTheme="minorHAnsi" w:hAnsiTheme="minorHAnsi" w:cs="Arial"/>
                <w:sz w:val="22"/>
                <w:szCs w:val="22"/>
              </w:rPr>
              <w:t>-</w:t>
            </w:r>
          </w:p>
        </w:tc>
      </w:tr>
      <w:tr w:rsidR="00BA067C" w:rsidRPr="00624CD2" w:rsidTr="00C829F2">
        <w:trPr>
          <w:cantSplit/>
        </w:trPr>
        <w:tc>
          <w:tcPr>
            <w:tcW w:w="2323" w:type="pct"/>
            <w:gridSpan w:val="5"/>
            <w:tcBorders>
              <w:left w:val="single" w:sz="12" w:space="0" w:color="auto"/>
              <w:right w:val="single" w:sz="4" w:space="0" w:color="auto"/>
            </w:tcBorders>
            <w:shd w:val="pct5" w:color="auto" w:fill="FFFFFF"/>
            <w:vAlign w:val="center"/>
          </w:tcPr>
          <w:p w:rsidR="00BA067C" w:rsidRPr="00624CD2" w:rsidRDefault="0026557A" w:rsidP="0026557A">
            <w:pPr>
              <w:keepNext/>
              <w:keepLines/>
              <w:widowControl w:val="0"/>
              <w:spacing w:after="0"/>
              <w:jc w:val="center"/>
              <w:rPr>
                <w:rFonts w:ascii="Calibri" w:hAnsi="Calibri"/>
                <w:b/>
                <w:sz w:val="22"/>
                <w:szCs w:val="22"/>
              </w:rPr>
            </w:pPr>
            <w:r w:rsidRPr="00624CD2">
              <w:rPr>
                <w:rFonts w:asciiTheme="minorHAnsi" w:hAnsiTheme="minorHAnsi"/>
                <w:b/>
                <w:sz w:val="22"/>
                <w:szCs w:val="22"/>
              </w:rPr>
              <w:t>Detailed project description</w:t>
            </w:r>
          </w:p>
        </w:tc>
        <w:tc>
          <w:tcPr>
            <w:tcW w:w="2677" w:type="pct"/>
            <w:gridSpan w:val="5"/>
            <w:tcBorders>
              <w:left w:val="single" w:sz="4" w:space="0" w:color="auto"/>
              <w:right w:val="single" w:sz="12" w:space="0" w:color="auto"/>
            </w:tcBorders>
            <w:shd w:val="pct5" w:color="auto" w:fill="FFFFFF"/>
            <w:vAlign w:val="center"/>
          </w:tcPr>
          <w:p w:rsidR="00BA067C" w:rsidRPr="00624CD2" w:rsidRDefault="0026557A" w:rsidP="00624CD2">
            <w:pPr>
              <w:keepNext/>
              <w:keepLines/>
              <w:widowControl w:val="0"/>
              <w:spacing w:after="0"/>
              <w:jc w:val="center"/>
              <w:rPr>
                <w:rFonts w:ascii="Calibri" w:hAnsi="Calibri"/>
                <w:b/>
                <w:sz w:val="22"/>
                <w:szCs w:val="22"/>
              </w:rPr>
            </w:pPr>
            <w:r w:rsidRPr="00624CD2">
              <w:rPr>
                <w:rFonts w:ascii="Helv" w:eastAsiaTheme="minorHAnsi" w:hAnsi="Helv" w:cs="Helv"/>
                <w:b/>
                <w:color w:val="000000"/>
                <w:lang w:eastAsia="en-US"/>
              </w:rPr>
              <w:t xml:space="preserve">Predefined Project </w:t>
            </w:r>
            <w:r w:rsidR="00624CD2" w:rsidRPr="00624CD2">
              <w:rPr>
                <w:rFonts w:ascii="Helv" w:eastAsiaTheme="minorHAnsi" w:hAnsi="Helv" w:cs="Helv"/>
                <w:b/>
                <w:color w:val="000000"/>
                <w:lang w:eastAsia="en-US"/>
              </w:rPr>
              <w:t>outcomes</w:t>
            </w:r>
          </w:p>
        </w:tc>
      </w:tr>
      <w:tr w:rsidR="00BA067C" w:rsidRPr="00624CD2" w:rsidTr="00C829F2">
        <w:tc>
          <w:tcPr>
            <w:tcW w:w="2323" w:type="pct"/>
            <w:gridSpan w:val="5"/>
            <w:tcBorders>
              <w:left w:val="single" w:sz="12" w:space="0" w:color="auto"/>
              <w:bottom w:val="single" w:sz="12" w:space="0" w:color="auto"/>
              <w:right w:val="single" w:sz="8" w:space="0" w:color="auto"/>
            </w:tcBorders>
          </w:tcPr>
          <w:p w:rsidR="00BA067C" w:rsidRPr="00624CD2" w:rsidRDefault="00932BFE" w:rsidP="009C0318">
            <w:pPr>
              <w:pStyle w:val="HDbodytable"/>
              <w:spacing w:before="60" w:after="60"/>
              <w:jc w:val="both"/>
              <w:rPr>
                <w:rFonts w:asciiTheme="minorHAnsi" w:hAnsiTheme="minorHAnsi"/>
                <w:b/>
                <w:sz w:val="22"/>
                <w:szCs w:val="22"/>
              </w:rPr>
            </w:pPr>
            <w:r w:rsidRPr="00624CD2">
              <w:rPr>
                <w:rFonts w:asciiTheme="minorHAnsi" w:hAnsiTheme="minorHAnsi"/>
                <w:b/>
                <w:sz w:val="22"/>
                <w:szCs w:val="22"/>
              </w:rPr>
              <w:t>Summary of the Project</w:t>
            </w:r>
          </w:p>
          <w:p w:rsidR="00BA067C" w:rsidRPr="00624CD2" w:rsidRDefault="008B1672" w:rsidP="008B1672">
            <w:pPr>
              <w:spacing w:after="120"/>
              <w:jc w:val="both"/>
              <w:rPr>
                <w:rFonts w:asciiTheme="minorHAnsi" w:hAnsiTheme="minorHAnsi"/>
                <w:sz w:val="22"/>
                <w:szCs w:val="22"/>
              </w:rPr>
            </w:pPr>
            <w:r w:rsidRPr="00624CD2">
              <w:rPr>
                <w:rFonts w:asciiTheme="minorHAnsi" w:hAnsiTheme="minorHAnsi"/>
                <w:sz w:val="22"/>
                <w:szCs w:val="22"/>
              </w:rPr>
              <w:t xml:space="preserve">The project </w:t>
            </w:r>
            <w:r w:rsidR="006B625B">
              <w:rPr>
                <w:rFonts w:asciiTheme="minorHAnsi" w:hAnsiTheme="minorHAnsi"/>
                <w:sz w:val="22"/>
                <w:szCs w:val="22"/>
              </w:rPr>
              <w:t>was</w:t>
            </w:r>
            <w:r w:rsidRPr="00624CD2">
              <w:rPr>
                <w:rFonts w:asciiTheme="minorHAnsi" w:hAnsiTheme="minorHAnsi"/>
                <w:sz w:val="22"/>
                <w:szCs w:val="22"/>
              </w:rPr>
              <w:t xml:space="preserve"> focused on the support of capacities of the Ministry of Economy of Republic of Serbia</w:t>
            </w:r>
            <w:r w:rsidR="00BA067C" w:rsidRPr="00624CD2">
              <w:rPr>
                <w:rFonts w:asciiTheme="minorHAnsi" w:hAnsiTheme="minorHAnsi"/>
                <w:sz w:val="22"/>
                <w:szCs w:val="22"/>
              </w:rPr>
              <w:t xml:space="preserve"> </w:t>
            </w:r>
            <w:r w:rsidRPr="00624CD2">
              <w:rPr>
                <w:rFonts w:asciiTheme="minorHAnsi" w:hAnsiTheme="minorHAnsi"/>
                <w:sz w:val="22"/>
                <w:szCs w:val="22"/>
              </w:rPr>
              <w:t>in the areas of</w:t>
            </w:r>
            <w:r w:rsidR="00BA067C" w:rsidRPr="00624CD2">
              <w:rPr>
                <w:rFonts w:asciiTheme="minorHAnsi" w:hAnsiTheme="minorHAnsi"/>
                <w:sz w:val="22"/>
                <w:szCs w:val="22"/>
              </w:rPr>
              <w:t xml:space="preserve"> </w:t>
            </w:r>
            <w:r w:rsidRPr="00624CD2">
              <w:rPr>
                <w:rFonts w:asciiTheme="minorHAnsi" w:hAnsiTheme="minorHAnsi"/>
                <w:sz w:val="22"/>
                <w:szCs w:val="22"/>
              </w:rPr>
              <w:t>quality</w:t>
            </w:r>
            <w:r w:rsidR="00BA067C" w:rsidRPr="00624CD2">
              <w:rPr>
                <w:rFonts w:asciiTheme="minorHAnsi" w:hAnsiTheme="minorHAnsi"/>
                <w:sz w:val="22"/>
                <w:szCs w:val="22"/>
              </w:rPr>
              <w:t>,</w:t>
            </w:r>
            <w:r w:rsidRPr="00624CD2">
              <w:rPr>
                <w:rFonts w:asciiTheme="minorHAnsi" w:hAnsiTheme="minorHAnsi"/>
                <w:sz w:val="22"/>
                <w:szCs w:val="22"/>
              </w:rPr>
              <w:t xml:space="preserve"> standards and implementation of legislative harmonized with EU namely for the sectors of lifts safety operation and construction products use.</w:t>
            </w:r>
            <w:r w:rsidR="00BA067C" w:rsidRPr="00624CD2">
              <w:rPr>
                <w:rFonts w:asciiTheme="minorHAnsi" w:hAnsiTheme="minorHAnsi"/>
                <w:sz w:val="22"/>
                <w:szCs w:val="22"/>
              </w:rPr>
              <w:t xml:space="preserve"> </w:t>
            </w:r>
          </w:p>
          <w:p w:rsidR="00BA067C" w:rsidRPr="00624CD2" w:rsidRDefault="00932BFE" w:rsidP="009C0318">
            <w:pPr>
              <w:pStyle w:val="HDbodytable"/>
              <w:spacing w:after="60"/>
              <w:jc w:val="both"/>
              <w:rPr>
                <w:b/>
                <w:sz w:val="22"/>
                <w:szCs w:val="22"/>
              </w:rPr>
            </w:pPr>
            <w:r w:rsidRPr="00624CD2">
              <w:rPr>
                <w:rFonts w:asciiTheme="minorHAnsi" w:hAnsiTheme="minorHAnsi"/>
                <w:b/>
                <w:sz w:val="22"/>
                <w:szCs w:val="22"/>
              </w:rPr>
              <w:t>Overall</w:t>
            </w:r>
            <w:r w:rsidRPr="00624CD2">
              <w:rPr>
                <w:b/>
                <w:sz w:val="22"/>
                <w:szCs w:val="22"/>
              </w:rPr>
              <w:t xml:space="preserve"> objective</w:t>
            </w:r>
          </w:p>
          <w:p w:rsidR="00BA067C" w:rsidRPr="00624CD2" w:rsidRDefault="008B1672" w:rsidP="009C0318">
            <w:pPr>
              <w:pStyle w:val="HDbodytable"/>
              <w:spacing w:after="120"/>
              <w:jc w:val="both"/>
              <w:rPr>
                <w:sz w:val="22"/>
                <w:szCs w:val="22"/>
              </w:rPr>
            </w:pPr>
            <w:r w:rsidRPr="00624CD2">
              <w:rPr>
                <w:sz w:val="22"/>
                <w:szCs w:val="22"/>
              </w:rPr>
              <w:t>The Project enhance</w:t>
            </w:r>
            <w:r w:rsidR="006B625B">
              <w:rPr>
                <w:sz w:val="22"/>
                <w:szCs w:val="22"/>
              </w:rPr>
              <w:t>d</w:t>
            </w:r>
            <w:r w:rsidRPr="00624CD2">
              <w:rPr>
                <w:sz w:val="22"/>
                <w:szCs w:val="22"/>
              </w:rPr>
              <w:t xml:space="preserve"> awareness of safe lift operation, construction products use and implementation of related technical regulations in the Republic of Serbia among the stakeholders, above all representatives of relevant ministries and state administration bodies, Serbian producers and service providers as well as of public, consumers and users interested in this area.</w:t>
            </w:r>
          </w:p>
          <w:p w:rsidR="00BA067C" w:rsidRPr="00624CD2" w:rsidRDefault="00932BFE" w:rsidP="009C0318">
            <w:pPr>
              <w:pStyle w:val="HDbodytable"/>
              <w:spacing w:after="60"/>
              <w:jc w:val="both"/>
              <w:rPr>
                <w:b/>
                <w:sz w:val="22"/>
                <w:szCs w:val="22"/>
              </w:rPr>
            </w:pPr>
            <w:r w:rsidRPr="00624CD2">
              <w:rPr>
                <w:b/>
                <w:sz w:val="22"/>
                <w:szCs w:val="22"/>
              </w:rPr>
              <w:t>Project Aim</w:t>
            </w:r>
          </w:p>
          <w:p w:rsidR="00BA067C" w:rsidRPr="00624CD2" w:rsidRDefault="006B625B" w:rsidP="006B625B">
            <w:pPr>
              <w:pStyle w:val="HDbodytable"/>
              <w:spacing w:after="120"/>
              <w:jc w:val="both"/>
              <w:rPr>
                <w:b/>
              </w:rPr>
            </w:pPr>
            <w:r>
              <w:rPr>
                <w:sz w:val="22"/>
                <w:szCs w:val="22"/>
              </w:rPr>
              <w:t>E</w:t>
            </w:r>
            <w:r w:rsidR="00A63020" w:rsidRPr="00624CD2">
              <w:rPr>
                <w:sz w:val="22"/>
                <w:szCs w:val="22"/>
              </w:rPr>
              <w:t>nhanced awareness of safe lift operation, construction products use and implementation of related technical regulations</w:t>
            </w:r>
            <w:r>
              <w:rPr>
                <w:sz w:val="22"/>
                <w:szCs w:val="22"/>
              </w:rPr>
              <w:t xml:space="preserve"> was reached</w:t>
            </w:r>
            <w:r w:rsidR="00A63020" w:rsidRPr="00624CD2">
              <w:rPr>
                <w:sz w:val="22"/>
                <w:szCs w:val="22"/>
              </w:rPr>
              <w:t xml:space="preserve"> and </w:t>
            </w:r>
            <w:r w:rsidR="00624CD2" w:rsidRPr="00624CD2">
              <w:rPr>
                <w:sz w:val="22"/>
                <w:szCs w:val="22"/>
              </w:rPr>
              <w:t xml:space="preserve">this aim </w:t>
            </w:r>
            <w:r>
              <w:rPr>
                <w:sz w:val="22"/>
                <w:szCs w:val="22"/>
              </w:rPr>
              <w:t>was</w:t>
            </w:r>
            <w:r w:rsidR="00A63020" w:rsidRPr="00624CD2">
              <w:rPr>
                <w:sz w:val="22"/>
                <w:szCs w:val="22"/>
              </w:rPr>
              <w:t xml:space="preserve"> achieved by study visits, workshop</w:t>
            </w:r>
            <w:r w:rsidR="00624CD2" w:rsidRPr="00624CD2">
              <w:rPr>
                <w:sz w:val="22"/>
                <w:szCs w:val="22"/>
              </w:rPr>
              <w:t xml:space="preserve"> and</w:t>
            </w:r>
            <w:r w:rsidR="00A63020" w:rsidRPr="00624CD2">
              <w:rPr>
                <w:sz w:val="22"/>
                <w:szCs w:val="22"/>
              </w:rPr>
              <w:t xml:space="preserve"> evaluation reports</w:t>
            </w:r>
            <w:r w:rsidR="00624CD2" w:rsidRPr="00624CD2">
              <w:rPr>
                <w:sz w:val="22"/>
                <w:szCs w:val="22"/>
              </w:rPr>
              <w:t>.</w:t>
            </w:r>
            <w:r w:rsidR="00BA067C" w:rsidRPr="00624CD2">
              <w:rPr>
                <w:sz w:val="22"/>
                <w:szCs w:val="22"/>
              </w:rPr>
              <w:t xml:space="preserve"> </w:t>
            </w:r>
          </w:p>
        </w:tc>
        <w:tc>
          <w:tcPr>
            <w:tcW w:w="2677" w:type="pct"/>
            <w:gridSpan w:val="5"/>
            <w:tcBorders>
              <w:top w:val="single" w:sz="4" w:space="0" w:color="auto"/>
              <w:left w:val="single" w:sz="8" w:space="0" w:color="auto"/>
              <w:bottom w:val="single" w:sz="12" w:space="0" w:color="auto"/>
              <w:right w:val="single" w:sz="12" w:space="0" w:color="auto"/>
            </w:tcBorders>
          </w:tcPr>
          <w:p w:rsidR="00BA067C" w:rsidRPr="00624CD2" w:rsidRDefault="00624CD2" w:rsidP="00624CD2">
            <w:pPr>
              <w:pStyle w:val="Odstavecseseznamem"/>
              <w:numPr>
                <w:ilvl w:val="0"/>
                <w:numId w:val="1"/>
              </w:numPr>
              <w:spacing w:before="60"/>
              <w:contextualSpacing w:val="0"/>
              <w:jc w:val="both"/>
              <w:rPr>
                <w:b/>
                <w:lang w:val="en-GB"/>
              </w:rPr>
            </w:pPr>
            <w:r w:rsidRPr="00624CD2">
              <w:rPr>
                <w:b/>
                <w:lang w:val="en-GB"/>
              </w:rPr>
              <w:t>Evaluation report and recommendations of particular steps and measures</w:t>
            </w:r>
          </w:p>
          <w:p w:rsidR="00BA067C" w:rsidRPr="00624CD2" w:rsidRDefault="00624CD2" w:rsidP="00624CD2">
            <w:pPr>
              <w:pStyle w:val="Odstavecseseznamem"/>
              <w:numPr>
                <w:ilvl w:val="0"/>
                <w:numId w:val="2"/>
              </w:numPr>
              <w:spacing w:after="60"/>
              <w:jc w:val="both"/>
              <w:rPr>
                <w:lang w:val="en-GB"/>
              </w:rPr>
            </w:pPr>
            <w:r w:rsidRPr="00624CD2">
              <w:rPr>
                <w:lang w:val="en-GB"/>
              </w:rPr>
              <w:t>Analysis of current state of measures and system of assessment and inspection of lifts and construction products safety</w:t>
            </w:r>
          </w:p>
          <w:p w:rsidR="00BA067C" w:rsidRPr="00624CD2" w:rsidRDefault="00624CD2" w:rsidP="00624CD2">
            <w:pPr>
              <w:pStyle w:val="Odstavecseseznamem"/>
              <w:numPr>
                <w:ilvl w:val="0"/>
                <w:numId w:val="2"/>
              </w:numPr>
              <w:spacing w:after="60"/>
              <w:jc w:val="both"/>
              <w:rPr>
                <w:lang w:val="en-GB"/>
              </w:rPr>
            </w:pPr>
            <w:r w:rsidRPr="00624CD2">
              <w:rPr>
                <w:lang w:val="en-GB"/>
              </w:rPr>
              <w:t>Drawing up of an evaluation report and  recommendations of particular steps and provisions</w:t>
            </w:r>
          </w:p>
          <w:p w:rsidR="00BA067C" w:rsidRPr="00624CD2" w:rsidRDefault="006B625B" w:rsidP="006B625B">
            <w:pPr>
              <w:pStyle w:val="Odstavecseseznamem"/>
              <w:numPr>
                <w:ilvl w:val="0"/>
                <w:numId w:val="1"/>
              </w:numPr>
              <w:spacing w:before="120"/>
              <w:contextualSpacing w:val="0"/>
              <w:jc w:val="both"/>
              <w:rPr>
                <w:b/>
                <w:lang w:val="en-GB"/>
              </w:rPr>
            </w:pPr>
            <w:r w:rsidRPr="006B625B">
              <w:rPr>
                <w:b/>
                <w:lang w:val="en-GB"/>
              </w:rPr>
              <w:t>Assessment of rules and procedures for national regulations harmonization and suggestion of recommendations for ensuring preparation of EU accession negotiation  (Chapter Free movement of goods)</w:t>
            </w:r>
          </w:p>
          <w:p w:rsidR="00BA067C" w:rsidRPr="00624CD2" w:rsidRDefault="006B625B" w:rsidP="006B625B">
            <w:pPr>
              <w:pStyle w:val="Odstavecseseznamem"/>
              <w:numPr>
                <w:ilvl w:val="0"/>
                <w:numId w:val="2"/>
              </w:numPr>
              <w:spacing w:after="60"/>
              <w:jc w:val="both"/>
              <w:rPr>
                <w:lang w:val="en-GB"/>
              </w:rPr>
            </w:pPr>
            <w:r w:rsidRPr="006B625B">
              <w:rPr>
                <w:lang w:val="en-GB"/>
              </w:rPr>
              <w:t>Assessment of current institutional and legislative framework for ensuring of negotiation in the Chapter Free movement of goods</w:t>
            </w:r>
          </w:p>
          <w:p w:rsidR="00BA067C" w:rsidRPr="00624CD2" w:rsidRDefault="006B625B" w:rsidP="006B625B">
            <w:pPr>
              <w:pStyle w:val="Odstavecseseznamem"/>
              <w:numPr>
                <w:ilvl w:val="0"/>
                <w:numId w:val="2"/>
              </w:numPr>
              <w:spacing w:after="60"/>
              <w:jc w:val="both"/>
              <w:rPr>
                <w:lang w:val="en-GB"/>
              </w:rPr>
            </w:pPr>
            <w:r w:rsidRPr="006B625B">
              <w:rPr>
                <w:lang w:val="en-GB"/>
              </w:rPr>
              <w:t>Consultations and transfer of experience</w:t>
            </w:r>
          </w:p>
          <w:p w:rsidR="00BA067C" w:rsidRPr="00624CD2" w:rsidRDefault="006B625B" w:rsidP="006B625B">
            <w:pPr>
              <w:pStyle w:val="Odstavecseseznamem"/>
              <w:numPr>
                <w:ilvl w:val="0"/>
                <w:numId w:val="2"/>
              </w:numPr>
              <w:spacing w:after="60"/>
              <w:jc w:val="both"/>
              <w:rPr>
                <w:lang w:val="en-GB"/>
              </w:rPr>
            </w:pPr>
            <w:r w:rsidRPr="006B625B">
              <w:rPr>
                <w:lang w:val="en-GB"/>
              </w:rPr>
              <w:t>Realization of one-day workshop/roundtable in the Republic of Serbia</w:t>
            </w:r>
          </w:p>
          <w:p w:rsidR="00BA067C" w:rsidRPr="00624CD2" w:rsidRDefault="00624CD2" w:rsidP="00624CD2">
            <w:pPr>
              <w:pStyle w:val="Odstavecseseznamem"/>
              <w:numPr>
                <w:ilvl w:val="0"/>
                <w:numId w:val="1"/>
              </w:numPr>
              <w:spacing w:before="120"/>
              <w:contextualSpacing w:val="0"/>
              <w:jc w:val="both"/>
              <w:rPr>
                <w:b/>
                <w:lang w:val="en-GB"/>
              </w:rPr>
            </w:pPr>
            <w:r w:rsidRPr="00624CD2">
              <w:rPr>
                <w:b/>
                <w:lang w:val="en-GB"/>
              </w:rPr>
              <w:t>Strengthened technical capacity for the officers of Serbian Ministry of Economy and other experts</w:t>
            </w:r>
          </w:p>
          <w:p w:rsidR="00BA067C" w:rsidRPr="00624CD2" w:rsidRDefault="00624CD2" w:rsidP="00624CD2">
            <w:pPr>
              <w:pStyle w:val="Odstavecseseznamem"/>
              <w:numPr>
                <w:ilvl w:val="0"/>
                <w:numId w:val="2"/>
              </w:numPr>
              <w:spacing w:after="60"/>
              <w:jc w:val="both"/>
              <w:rPr>
                <w:lang w:val="en-GB"/>
              </w:rPr>
            </w:pPr>
            <w:r w:rsidRPr="00624CD2">
              <w:rPr>
                <w:lang w:val="en-GB"/>
              </w:rPr>
              <w:t>Training of experts and possibly other stakeholders’ representatives</w:t>
            </w:r>
          </w:p>
          <w:p w:rsidR="00BA067C" w:rsidRPr="00624CD2" w:rsidRDefault="00624CD2" w:rsidP="00624CD2">
            <w:pPr>
              <w:pStyle w:val="Odstavecseseznamem"/>
              <w:numPr>
                <w:ilvl w:val="0"/>
                <w:numId w:val="2"/>
              </w:numPr>
              <w:spacing w:after="60"/>
              <w:jc w:val="both"/>
              <w:rPr>
                <w:lang w:val="en-GB"/>
              </w:rPr>
            </w:pPr>
            <w:r w:rsidRPr="00624CD2">
              <w:rPr>
                <w:lang w:val="en-GB"/>
              </w:rPr>
              <w:t>Preparation of study materials and presentations</w:t>
            </w:r>
          </w:p>
          <w:p w:rsidR="00BA067C" w:rsidRPr="00624CD2" w:rsidRDefault="006B625B" w:rsidP="006B625B">
            <w:pPr>
              <w:pStyle w:val="Odstavecseseznamem"/>
              <w:numPr>
                <w:ilvl w:val="0"/>
                <w:numId w:val="2"/>
              </w:numPr>
              <w:spacing w:after="60"/>
              <w:jc w:val="both"/>
              <w:rPr>
                <w:lang w:val="en-GB"/>
              </w:rPr>
            </w:pPr>
            <w:r w:rsidRPr="006B625B">
              <w:rPr>
                <w:lang w:val="en-GB"/>
              </w:rPr>
              <w:t>Realization of a study visit of Serbian experts to the Czech Republic</w:t>
            </w:r>
          </w:p>
          <w:p w:rsidR="00BA067C" w:rsidRPr="00624CD2" w:rsidRDefault="00624CD2" w:rsidP="00624CD2">
            <w:pPr>
              <w:pStyle w:val="Odstavecseseznamem"/>
              <w:numPr>
                <w:ilvl w:val="0"/>
                <w:numId w:val="1"/>
              </w:numPr>
              <w:spacing w:before="120"/>
              <w:contextualSpacing w:val="0"/>
              <w:jc w:val="both"/>
              <w:rPr>
                <w:b/>
                <w:lang w:val="en-GB"/>
              </w:rPr>
            </w:pPr>
            <w:r w:rsidRPr="00624CD2">
              <w:rPr>
                <w:b/>
                <w:lang w:val="en-GB"/>
              </w:rPr>
              <w:t>Enhanced awareness on safe operation of lifts and use of construction products</w:t>
            </w:r>
          </w:p>
          <w:p w:rsidR="00BA067C" w:rsidRPr="00624CD2" w:rsidRDefault="006B625B" w:rsidP="006B625B">
            <w:pPr>
              <w:pStyle w:val="Odstavecseseznamem"/>
              <w:numPr>
                <w:ilvl w:val="0"/>
                <w:numId w:val="2"/>
              </w:numPr>
              <w:spacing w:after="60"/>
              <w:jc w:val="both"/>
              <w:rPr>
                <w:lang w:val="en-GB"/>
              </w:rPr>
            </w:pPr>
            <w:r w:rsidRPr="006B625B">
              <w:rPr>
                <w:lang w:val="en-GB"/>
              </w:rPr>
              <w:t>Realization of a one-day seminar and one-day workshop in the Republic of Serbia</w:t>
            </w:r>
          </w:p>
        </w:tc>
      </w:tr>
    </w:tbl>
    <w:p w:rsidR="001D03EB" w:rsidRPr="00624CD2" w:rsidRDefault="001D03EB"/>
    <w:sectPr w:rsidR="001D03EB" w:rsidRPr="00624CD2" w:rsidSect="00624CD2">
      <w:pgSz w:w="16839" w:h="11907" w:orient="landscape" w:code="9"/>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51062"/>
    <w:multiLevelType w:val="hybridMultilevel"/>
    <w:tmpl w:val="202E0FA0"/>
    <w:lvl w:ilvl="0" w:tplc="86887ECE">
      <w:start w:val="1"/>
      <w:numFmt w:val="bullet"/>
      <w:lvlText w:val=""/>
      <w:lvlJc w:val="left"/>
      <w:pPr>
        <w:ind w:left="340" w:hanging="17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E0139A"/>
    <w:multiLevelType w:val="hybridMultilevel"/>
    <w:tmpl w:val="A7249A38"/>
    <w:lvl w:ilvl="0" w:tplc="04050005">
      <w:start w:val="1"/>
      <w:numFmt w:val="bullet"/>
      <w:lvlText w:val=""/>
      <w:lvlJc w:val="left"/>
      <w:pPr>
        <w:ind w:left="170" w:hanging="17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7C"/>
    <w:rsid w:val="000972E3"/>
    <w:rsid w:val="0019546E"/>
    <w:rsid w:val="001D03EB"/>
    <w:rsid w:val="00232E2A"/>
    <w:rsid w:val="0026557A"/>
    <w:rsid w:val="003100F6"/>
    <w:rsid w:val="00322A36"/>
    <w:rsid w:val="00624CD2"/>
    <w:rsid w:val="00631229"/>
    <w:rsid w:val="006B625B"/>
    <w:rsid w:val="00763DFF"/>
    <w:rsid w:val="008B1672"/>
    <w:rsid w:val="00932BFE"/>
    <w:rsid w:val="009B3BD8"/>
    <w:rsid w:val="00A63020"/>
    <w:rsid w:val="00A92E94"/>
    <w:rsid w:val="00BA067C"/>
    <w:rsid w:val="00C811C7"/>
    <w:rsid w:val="00C82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F9661-024A-40B7-B149-0FD1691F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67C"/>
    <w:pPr>
      <w:spacing w:after="240" w:line="240" w:lineRule="auto"/>
    </w:pPr>
    <w:rPr>
      <w:rFonts w:ascii="Arial" w:eastAsia="Times New Roman" w:hAnsi="Arial" w:cs="Times New Roman"/>
      <w:sz w:val="20"/>
      <w:szCs w:val="20"/>
      <w:lang w:val="en-GB" w:eastAsia="en-GB"/>
    </w:rPr>
  </w:style>
  <w:style w:type="paragraph" w:styleId="Nadpis1">
    <w:name w:val="heading 1"/>
    <w:basedOn w:val="Normln"/>
    <w:next w:val="Normln"/>
    <w:link w:val="Nadpis1Char"/>
    <w:uiPriority w:val="9"/>
    <w:qFormat/>
    <w:rsid w:val="00BA0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nexetitle">
    <w:name w:val="Annexe_title"/>
    <w:basedOn w:val="Nadpis1"/>
    <w:next w:val="Normln"/>
    <w:autoRedefine/>
    <w:rsid w:val="00BA067C"/>
    <w:pPr>
      <w:keepNext w:val="0"/>
      <w:keepLines w:val="0"/>
      <w:pageBreakBefore/>
      <w:tabs>
        <w:tab w:val="left" w:pos="1701"/>
        <w:tab w:val="left" w:pos="2552"/>
      </w:tabs>
      <w:spacing w:before="0"/>
      <w:jc w:val="center"/>
      <w:outlineLvl w:val="9"/>
    </w:pPr>
    <w:rPr>
      <w:rFonts w:ascii="Garamond" w:eastAsia="Times New Roman" w:hAnsi="Garamond" w:cs="Times New Roman"/>
      <w:b/>
      <w:caps/>
      <w:noProof/>
      <w:color w:val="auto"/>
      <w:sz w:val="20"/>
      <w:szCs w:val="20"/>
    </w:rPr>
  </w:style>
  <w:style w:type="paragraph" w:customStyle="1" w:styleId="HDbodytable">
    <w:name w:val="HD body table"/>
    <w:basedOn w:val="Normln"/>
    <w:qFormat/>
    <w:rsid w:val="00BA067C"/>
    <w:pPr>
      <w:spacing w:after="0"/>
    </w:pPr>
    <w:rPr>
      <w:rFonts w:ascii="Calibri" w:hAnsi="Calibri" w:cs="Arial"/>
    </w:rPr>
  </w:style>
  <w:style w:type="paragraph" w:styleId="Odstavecseseznamem">
    <w:name w:val="List Paragraph"/>
    <w:basedOn w:val="Normln"/>
    <w:uiPriority w:val="34"/>
    <w:qFormat/>
    <w:rsid w:val="00BA067C"/>
    <w:pPr>
      <w:spacing w:after="0"/>
      <w:ind w:left="720"/>
      <w:contextualSpacing/>
    </w:pPr>
    <w:rPr>
      <w:rFonts w:ascii="Calibri" w:eastAsia="Calibri" w:hAnsi="Calibri"/>
      <w:sz w:val="22"/>
      <w:szCs w:val="22"/>
      <w:lang w:val="cs-CZ" w:eastAsia="en-US"/>
    </w:rPr>
  </w:style>
  <w:style w:type="character" w:customStyle="1" w:styleId="Nadpis1Char">
    <w:name w:val="Nadpis 1 Char"/>
    <w:basedOn w:val="Standardnpsmoodstavce"/>
    <w:link w:val="Nadpis1"/>
    <w:uiPriority w:val="9"/>
    <w:rsid w:val="00BA067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Skopalová Markéta</dc:creator>
  <cp:keywords/>
  <dc:description/>
  <cp:lastModifiedBy>Maršálková Kateřina</cp:lastModifiedBy>
  <cp:revision>5</cp:revision>
  <dcterms:created xsi:type="dcterms:W3CDTF">2015-12-18T11:48:00Z</dcterms:created>
  <dcterms:modified xsi:type="dcterms:W3CDTF">2018-06-25T11:55:00Z</dcterms:modified>
</cp:coreProperties>
</file>