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064C" w14:textId="77777777" w:rsidR="00D74EE3" w:rsidRPr="009B18C1" w:rsidRDefault="009B18C1" w:rsidP="00D74EE3">
      <w:pPr>
        <w:spacing w:before="75" w:after="150"/>
        <w:jc w:val="both"/>
        <w:rPr>
          <w:rFonts w:asciiTheme="minorHAnsi" w:hAnsiTheme="minorHAnsi"/>
          <w:b/>
          <w:sz w:val="22"/>
          <w:szCs w:val="24"/>
          <w:lang w:eastAsia="cs-CZ"/>
        </w:rPr>
      </w:pPr>
      <w:r w:rsidRPr="009B18C1">
        <w:rPr>
          <w:rFonts w:asciiTheme="minorHAnsi" w:hAnsiTheme="minorHAnsi"/>
          <w:b/>
          <w:sz w:val="22"/>
          <w:szCs w:val="24"/>
          <w:lang w:eastAsia="cs-CZ"/>
        </w:rPr>
        <w:t>Serbia</w:t>
      </w:r>
      <w:r w:rsidR="004675C3" w:rsidRPr="009B18C1">
        <w:rPr>
          <w:rFonts w:asciiTheme="minorHAnsi" w:hAnsiTheme="minorHAnsi"/>
          <w:b/>
          <w:sz w:val="22"/>
          <w:szCs w:val="24"/>
          <w:lang w:eastAsia="cs-CZ"/>
        </w:rPr>
        <w:t xml:space="preserve"> – </w:t>
      </w:r>
      <w:r w:rsidRPr="009B18C1">
        <w:rPr>
          <w:rFonts w:asciiTheme="minorHAnsi" w:hAnsiTheme="minorHAnsi"/>
          <w:b/>
          <w:sz w:val="22"/>
          <w:szCs w:val="24"/>
          <w:lang w:eastAsia="cs-CZ"/>
        </w:rPr>
        <w:t>Twinning Project</w:t>
      </w:r>
    </w:p>
    <w:p w14:paraId="12036442" w14:textId="6AA14C05" w:rsidR="004C15FB" w:rsidRPr="00C16616" w:rsidRDefault="000E4A9D" w:rsidP="00D74EE3">
      <w:pPr>
        <w:jc w:val="both"/>
        <w:rPr>
          <w:rFonts w:asciiTheme="minorHAnsi" w:hAnsiTheme="minorHAnsi"/>
          <w:sz w:val="22"/>
          <w:szCs w:val="24"/>
          <w:lang w:val="en-US" w:eastAsia="cs-CZ"/>
        </w:rPr>
      </w:pPr>
      <w:r>
        <w:rPr>
          <w:rFonts w:asciiTheme="minorHAnsi" w:hAnsiTheme="minorHAnsi"/>
          <w:sz w:val="22"/>
          <w:szCs w:val="24"/>
          <w:lang w:val="en-US" w:eastAsia="cs-CZ"/>
        </w:rPr>
        <w:t>The Czech Office for Standards, Metrology and Testing (UNMZ) participate</w:t>
      </w:r>
      <w:r w:rsidR="00AE0496">
        <w:rPr>
          <w:rFonts w:asciiTheme="minorHAnsi" w:hAnsiTheme="minorHAnsi"/>
          <w:sz w:val="22"/>
          <w:szCs w:val="24"/>
          <w:lang w:val="en-US" w:eastAsia="cs-CZ"/>
        </w:rPr>
        <w:t>d</w:t>
      </w:r>
      <w:r>
        <w:rPr>
          <w:rFonts w:asciiTheme="minorHAnsi" w:hAnsiTheme="minorHAnsi"/>
          <w:sz w:val="22"/>
          <w:szCs w:val="24"/>
          <w:lang w:val="en-US" w:eastAsia="cs-CZ"/>
        </w:rPr>
        <w:t xml:space="preserve"> as </w:t>
      </w:r>
      <w:r w:rsidR="00B32FC3">
        <w:rPr>
          <w:rFonts w:asciiTheme="minorHAnsi" w:hAnsiTheme="minorHAnsi"/>
          <w:sz w:val="22"/>
          <w:szCs w:val="24"/>
          <w:lang w:val="en-US" w:eastAsia="cs-CZ"/>
        </w:rPr>
        <w:t>a consortium partner in the implementation of</w:t>
      </w:r>
      <w:r>
        <w:rPr>
          <w:rFonts w:asciiTheme="minorHAnsi" w:hAnsiTheme="minorHAnsi"/>
          <w:sz w:val="22"/>
          <w:szCs w:val="24"/>
          <w:lang w:val="en-US" w:eastAsia="cs-CZ"/>
        </w:rPr>
        <w:t xml:space="preserve"> the Twinning project named </w:t>
      </w:r>
      <w:r w:rsidRPr="000E4A9D">
        <w:rPr>
          <w:rFonts w:asciiTheme="minorHAnsi" w:hAnsiTheme="minorHAnsi"/>
          <w:b/>
          <w:sz w:val="22"/>
          <w:szCs w:val="24"/>
          <w:lang w:val="en-US" w:eastAsia="cs-CZ"/>
        </w:rPr>
        <w:t>“</w:t>
      </w:r>
      <w:r w:rsidRPr="000E4A9D">
        <w:rPr>
          <w:b/>
        </w:rPr>
        <w:t>Strengthening capacities of National Quality Infrastructure (NQI) and conformity assessment (CA) services in the Republic of Serbia</w:t>
      </w:r>
      <w:r w:rsidRPr="000E4A9D">
        <w:rPr>
          <w:rFonts w:asciiTheme="minorHAnsi" w:hAnsiTheme="minorHAnsi"/>
          <w:b/>
          <w:sz w:val="22"/>
          <w:szCs w:val="24"/>
          <w:lang w:val="en-US" w:eastAsia="cs-CZ"/>
        </w:rPr>
        <w:t>”</w:t>
      </w:r>
      <w:r>
        <w:rPr>
          <w:rFonts w:asciiTheme="minorHAnsi" w:hAnsiTheme="minorHAnsi"/>
          <w:sz w:val="22"/>
          <w:szCs w:val="24"/>
          <w:lang w:val="en-US" w:eastAsia="cs-CZ"/>
        </w:rPr>
        <w:t xml:space="preserve">. </w:t>
      </w:r>
      <w:r w:rsidR="00BC75F3">
        <w:rPr>
          <w:rFonts w:asciiTheme="minorHAnsi" w:hAnsiTheme="minorHAnsi"/>
          <w:sz w:val="22"/>
          <w:szCs w:val="24"/>
          <w:lang w:val="en-US" w:eastAsia="cs-CZ"/>
        </w:rPr>
        <w:t xml:space="preserve">The project </w:t>
      </w:r>
      <w:r w:rsidR="00AE0496">
        <w:rPr>
          <w:rFonts w:asciiTheme="minorHAnsi" w:hAnsiTheme="minorHAnsi"/>
          <w:sz w:val="22"/>
          <w:szCs w:val="24"/>
          <w:lang w:val="en-US" w:eastAsia="cs-CZ"/>
        </w:rPr>
        <w:t>was</w:t>
      </w:r>
      <w:r w:rsidR="00BC75F3">
        <w:rPr>
          <w:rFonts w:asciiTheme="minorHAnsi" w:hAnsiTheme="minorHAnsi"/>
          <w:sz w:val="22"/>
          <w:szCs w:val="24"/>
          <w:lang w:val="en-US" w:eastAsia="cs-CZ"/>
        </w:rPr>
        <w:t xml:space="preserve"> managed by </w:t>
      </w:r>
      <w:r w:rsidR="00891D51">
        <w:rPr>
          <w:rFonts w:asciiTheme="minorHAnsi" w:hAnsiTheme="minorHAnsi"/>
          <w:sz w:val="22"/>
          <w:szCs w:val="24"/>
          <w:lang w:val="en-US" w:eastAsia="cs-CZ"/>
        </w:rPr>
        <w:t>Czech Me</w:t>
      </w:r>
      <w:r w:rsidR="00BC75F3">
        <w:rPr>
          <w:rFonts w:asciiTheme="minorHAnsi" w:hAnsiTheme="minorHAnsi"/>
          <w:sz w:val="22"/>
          <w:szCs w:val="24"/>
          <w:lang w:val="en-US" w:eastAsia="cs-CZ"/>
        </w:rPr>
        <w:t xml:space="preserve">trology institute (ČMI) </w:t>
      </w:r>
      <w:r w:rsidR="00B32FC3">
        <w:rPr>
          <w:rFonts w:asciiTheme="minorHAnsi" w:hAnsiTheme="minorHAnsi"/>
          <w:sz w:val="22"/>
          <w:szCs w:val="24"/>
          <w:lang w:val="en-US" w:eastAsia="cs-CZ"/>
        </w:rPr>
        <w:t xml:space="preserve">as a Lead Partner </w:t>
      </w:r>
      <w:r w:rsidR="00BC75F3">
        <w:rPr>
          <w:rFonts w:asciiTheme="minorHAnsi" w:hAnsiTheme="minorHAnsi"/>
          <w:sz w:val="22"/>
          <w:szCs w:val="24"/>
          <w:lang w:val="en-US" w:eastAsia="cs-CZ"/>
        </w:rPr>
        <w:t>and</w:t>
      </w:r>
      <w:r w:rsidR="003D24FC">
        <w:rPr>
          <w:rFonts w:asciiTheme="minorHAnsi" w:hAnsiTheme="minorHAnsi"/>
          <w:sz w:val="22"/>
          <w:szCs w:val="24"/>
          <w:lang w:val="en-US" w:eastAsia="cs-CZ"/>
        </w:rPr>
        <w:t xml:space="preserve"> it</w:t>
      </w:r>
      <w:r w:rsidR="00BC75F3">
        <w:rPr>
          <w:rFonts w:asciiTheme="minorHAnsi" w:hAnsiTheme="minorHAnsi"/>
          <w:sz w:val="22"/>
          <w:szCs w:val="24"/>
          <w:lang w:val="en-US" w:eastAsia="cs-CZ"/>
        </w:rPr>
        <w:t xml:space="preserve"> </w:t>
      </w:r>
      <w:r w:rsidR="00AE0496">
        <w:rPr>
          <w:rFonts w:asciiTheme="minorHAnsi" w:hAnsiTheme="minorHAnsi"/>
          <w:sz w:val="22"/>
          <w:szCs w:val="24"/>
          <w:lang w:val="en-US" w:eastAsia="cs-CZ"/>
        </w:rPr>
        <w:t>was</w:t>
      </w:r>
      <w:r w:rsidR="00BC75F3">
        <w:rPr>
          <w:rFonts w:asciiTheme="minorHAnsi" w:hAnsiTheme="minorHAnsi"/>
          <w:sz w:val="22"/>
          <w:szCs w:val="24"/>
          <w:lang w:val="en-US" w:eastAsia="cs-CZ"/>
        </w:rPr>
        <w:t xml:space="preserve"> fully financed by </w:t>
      </w:r>
      <w:r w:rsidR="003D7954">
        <w:rPr>
          <w:rFonts w:asciiTheme="minorHAnsi" w:hAnsiTheme="minorHAnsi"/>
          <w:sz w:val="22"/>
          <w:szCs w:val="24"/>
          <w:lang w:val="en-US" w:eastAsia="cs-CZ"/>
        </w:rPr>
        <w:t xml:space="preserve">the </w:t>
      </w:r>
      <w:r w:rsidR="00BC75F3">
        <w:rPr>
          <w:rFonts w:asciiTheme="minorHAnsi" w:hAnsiTheme="minorHAnsi"/>
          <w:sz w:val="22"/>
          <w:szCs w:val="24"/>
          <w:lang w:val="en-US" w:eastAsia="cs-CZ"/>
        </w:rPr>
        <w:t xml:space="preserve">European Union (EU). </w:t>
      </w:r>
      <w:r w:rsidR="003D7954">
        <w:rPr>
          <w:rFonts w:asciiTheme="minorHAnsi" w:hAnsiTheme="minorHAnsi"/>
          <w:sz w:val="22"/>
          <w:szCs w:val="24"/>
          <w:lang w:val="en-US" w:eastAsia="cs-CZ"/>
        </w:rPr>
        <w:t>Ano</w:t>
      </w:r>
      <w:r w:rsidR="00BC75F3">
        <w:rPr>
          <w:rFonts w:asciiTheme="minorHAnsi" w:hAnsiTheme="minorHAnsi"/>
          <w:sz w:val="22"/>
          <w:szCs w:val="24"/>
          <w:lang w:val="en-US" w:eastAsia="cs-CZ"/>
        </w:rPr>
        <w:t>ther member</w:t>
      </w:r>
      <w:r w:rsidR="00891D51">
        <w:rPr>
          <w:rFonts w:asciiTheme="minorHAnsi" w:hAnsiTheme="minorHAnsi"/>
          <w:sz w:val="22"/>
          <w:szCs w:val="24"/>
          <w:lang w:val="en-US" w:eastAsia="cs-CZ"/>
        </w:rPr>
        <w:t xml:space="preserve"> of the consortium </w:t>
      </w:r>
      <w:r w:rsidR="00AE0496">
        <w:rPr>
          <w:rFonts w:asciiTheme="minorHAnsi" w:hAnsiTheme="minorHAnsi"/>
          <w:sz w:val="22"/>
          <w:szCs w:val="24"/>
          <w:lang w:val="en-US" w:eastAsia="cs-CZ"/>
        </w:rPr>
        <w:t>was</w:t>
      </w:r>
      <w:r w:rsidR="00891D51">
        <w:rPr>
          <w:rFonts w:asciiTheme="minorHAnsi" w:hAnsiTheme="minorHAnsi"/>
          <w:sz w:val="22"/>
          <w:szCs w:val="24"/>
          <w:lang w:val="en-US" w:eastAsia="cs-CZ"/>
        </w:rPr>
        <w:t xml:space="preserve"> </w:t>
      </w:r>
      <w:r w:rsidR="00BC75F3">
        <w:rPr>
          <w:rFonts w:asciiTheme="minorHAnsi" w:hAnsiTheme="minorHAnsi"/>
          <w:sz w:val="22"/>
          <w:szCs w:val="24"/>
          <w:lang w:val="en-US" w:eastAsia="cs-CZ"/>
        </w:rPr>
        <w:t>Czech Accreditation Inst</w:t>
      </w:r>
      <w:r w:rsidR="00891D51">
        <w:rPr>
          <w:rFonts w:asciiTheme="minorHAnsi" w:hAnsiTheme="minorHAnsi"/>
          <w:sz w:val="22"/>
          <w:szCs w:val="24"/>
          <w:lang w:val="en-US" w:eastAsia="cs-CZ"/>
        </w:rPr>
        <w:t xml:space="preserve">itute </w:t>
      </w:r>
      <w:r w:rsidR="00BC75F3">
        <w:rPr>
          <w:rFonts w:asciiTheme="minorHAnsi" w:hAnsiTheme="minorHAnsi"/>
          <w:sz w:val="22"/>
          <w:szCs w:val="24"/>
          <w:lang w:val="en-US" w:eastAsia="cs-CZ"/>
        </w:rPr>
        <w:t>(ČIA)</w:t>
      </w:r>
      <w:r w:rsidR="00891D51">
        <w:rPr>
          <w:rFonts w:asciiTheme="minorHAnsi" w:hAnsiTheme="minorHAnsi"/>
          <w:sz w:val="22"/>
          <w:szCs w:val="24"/>
          <w:lang w:val="en-US" w:eastAsia="cs-CZ"/>
        </w:rPr>
        <w:t>. The project was started in October 2015. The implementa</w:t>
      </w:r>
      <w:r w:rsidR="0018680A">
        <w:rPr>
          <w:rFonts w:asciiTheme="minorHAnsi" w:hAnsiTheme="minorHAnsi"/>
          <w:sz w:val="22"/>
          <w:szCs w:val="24"/>
          <w:lang w:val="en-US" w:eastAsia="cs-CZ"/>
        </w:rPr>
        <w:t xml:space="preserve">tion period of the project </w:t>
      </w:r>
      <w:r w:rsidR="00AE0496">
        <w:rPr>
          <w:rFonts w:asciiTheme="minorHAnsi" w:hAnsiTheme="minorHAnsi"/>
          <w:sz w:val="22"/>
          <w:szCs w:val="24"/>
          <w:lang w:val="en-US" w:eastAsia="cs-CZ"/>
        </w:rPr>
        <w:t>was</w:t>
      </w:r>
      <w:r w:rsidR="0018680A">
        <w:rPr>
          <w:rFonts w:asciiTheme="minorHAnsi" w:hAnsiTheme="minorHAnsi"/>
          <w:sz w:val="22"/>
          <w:szCs w:val="24"/>
          <w:lang w:val="en-US" w:eastAsia="cs-CZ"/>
        </w:rPr>
        <w:t xml:space="preserve"> 25</w:t>
      </w:r>
      <w:r w:rsidR="00891D51">
        <w:rPr>
          <w:rFonts w:asciiTheme="minorHAnsi" w:hAnsiTheme="minorHAnsi"/>
          <w:sz w:val="22"/>
          <w:szCs w:val="24"/>
          <w:lang w:val="en-US" w:eastAsia="cs-CZ"/>
        </w:rPr>
        <w:t xml:space="preserve"> months. The main partner and beneficiary of this project </w:t>
      </w:r>
      <w:r w:rsidR="00AE0496">
        <w:rPr>
          <w:rFonts w:asciiTheme="minorHAnsi" w:hAnsiTheme="minorHAnsi"/>
          <w:sz w:val="22"/>
          <w:szCs w:val="24"/>
          <w:lang w:val="en-US" w:eastAsia="cs-CZ"/>
        </w:rPr>
        <w:t>was</w:t>
      </w:r>
      <w:r w:rsidR="00891D51">
        <w:rPr>
          <w:rFonts w:asciiTheme="minorHAnsi" w:hAnsiTheme="minorHAnsi"/>
          <w:sz w:val="22"/>
          <w:szCs w:val="24"/>
          <w:lang w:val="en-US" w:eastAsia="cs-CZ"/>
        </w:rPr>
        <w:t xml:space="preserve"> Government of Serbia and other interested</w:t>
      </w:r>
      <w:r w:rsidR="00F8653F">
        <w:rPr>
          <w:rFonts w:asciiTheme="minorHAnsi" w:hAnsiTheme="minorHAnsi"/>
          <w:sz w:val="22"/>
          <w:szCs w:val="24"/>
          <w:lang w:val="en-US" w:eastAsia="cs-CZ"/>
        </w:rPr>
        <w:t xml:space="preserve"> Serbian </w:t>
      </w:r>
      <w:r w:rsidR="00891D51">
        <w:rPr>
          <w:rFonts w:asciiTheme="minorHAnsi" w:hAnsiTheme="minorHAnsi"/>
          <w:sz w:val="22"/>
          <w:szCs w:val="24"/>
          <w:lang w:val="en-US" w:eastAsia="cs-CZ"/>
        </w:rPr>
        <w:t xml:space="preserve">ministries and institutions </w:t>
      </w:r>
      <w:r w:rsidR="00891D51" w:rsidRPr="00D81BD9">
        <w:rPr>
          <w:rFonts w:asciiTheme="minorHAnsi" w:hAnsiTheme="minorHAnsi"/>
          <w:sz w:val="22"/>
          <w:szCs w:val="24"/>
          <w:lang w:val="en-US" w:eastAsia="cs-CZ"/>
        </w:rPr>
        <w:t xml:space="preserve">- </w:t>
      </w:r>
      <w:r w:rsidR="00891D51" w:rsidRPr="00241CAB">
        <w:rPr>
          <w:rFonts w:asciiTheme="minorHAnsi" w:hAnsiTheme="minorHAnsi"/>
          <w:sz w:val="22"/>
          <w:szCs w:val="24"/>
          <w:lang w:val="en-US" w:eastAsia="cs-CZ"/>
        </w:rPr>
        <w:t>Ministry of Health, Ministry of the Environment</w:t>
      </w:r>
      <w:r w:rsidR="00F8653F" w:rsidRPr="00241CAB">
        <w:rPr>
          <w:rFonts w:asciiTheme="minorHAnsi" w:hAnsiTheme="minorHAnsi"/>
          <w:sz w:val="22"/>
          <w:szCs w:val="24"/>
          <w:lang w:val="en-US" w:eastAsia="cs-CZ"/>
        </w:rPr>
        <w:t xml:space="preserve">, </w:t>
      </w:r>
      <w:r w:rsidR="007B72CF" w:rsidRPr="00241CAB">
        <w:rPr>
          <w:rFonts w:asciiTheme="minorHAnsi" w:hAnsiTheme="minorHAnsi"/>
          <w:sz w:val="22"/>
          <w:szCs w:val="24"/>
          <w:lang w:val="en-US" w:eastAsia="cs-CZ"/>
        </w:rPr>
        <w:t xml:space="preserve">Accreditation body of Serbia, Serbian Institute for </w:t>
      </w:r>
      <w:r w:rsidR="00113CA4" w:rsidRPr="00241CAB">
        <w:rPr>
          <w:rFonts w:asciiTheme="minorHAnsi" w:hAnsiTheme="minorHAnsi"/>
          <w:sz w:val="22"/>
          <w:szCs w:val="24"/>
          <w:lang w:val="en-US" w:eastAsia="cs-CZ"/>
        </w:rPr>
        <w:t>Standardization</w:t>
      </w:r>
      <w:r w:rsidR="007B72CF" w:rsidRPr="00241CAB">
        <w:rPr>
          <w:rFonts w:asciiTheme="minorHAnsi" w:hAnsiTheme="minorHAnsi"/>
          <w:sz w:val="22"/>
          <w:szCs w:val="24"/>
          <w:lang w:val="en-US" w:eastAsia="cs-CZ"/>
        </w:rPr>
        <w:t xml:space="preserve"> and Serbian Metrology Institute.</w:t>
      </w:r>
      <w:r w:rsidR="0090353B" w:rsidRPr="00241CAB">
        <w:rPr>
          <w:rFonts w:asciiTheme="minorHAnsi" w:hAnsiTheme="minorHAnsi"/>
          <w:sz w:val="22"/>
          <w:szCs w:val="24"/>
          <w:lang w:val="en-US" w:eastAsia="cs-CZ"/>
        </w:rPr>
        <w:t xml:space="preserve"> </w:t>
      </w:r>
    </w:p>
    <w:tbl>
      <w:tblPr>
        <w:tblW w:w="5000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11"/>
        <w:gridCol w:w="1267"/>
        <w:gridCol w:w="1268"/>
        <w:gridCol w:w="1350"/>
        <w:gridCol w:w="533"/>
        <w:gridCol w:w="642"/>
        <w:gridCol w:w="1368"/>
        <w:gridCol w:w="1472"/>
        <w:gridCol w:w="1310"/>
        <w:gridCol w:w="1838"/>
      </w:tblGrid>
      <w:tr w:rsidR="00047DE8" w:rsidRPr="00AA35A3" w14:paraId="28E9892A" w14:textId="77777777" w:rsidTr="004B177B">
        <w:trPr>
          <w:cantSplit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</w:tcBorders>
            <w:shd w:val="pct15" w:color="auto" w:fill="FFFFFF"/>
            <w:vAlign w:val="center"/>
          </w:tcPr>
          <w:p w14:paraId="2729F8DE" w14:textId="77777777" w:rsidR="006A29D2" w:rsidRPr="00C16616" w:rsidRDefault="00515B3E" w:rsidP="00515B3E">
            <w:pPr>
              <w:tabs>
                <w:tab w:val="num" w:pos="540"/>
              </w:tabs>
              <w:spacing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A35A3">
              <w:rPr>
                <w:color w:val="548DD4" w:themeColor="text2" w:themeTint="99"/>
                <w:sz w:val="22"/>
                <w:szCs w:val="22"/>
              </w:rPr>
              <w:br w:type="page"/>
            </w:r>
            <w:r w:rsidR="00292371" w:rsidRPr="00AA35A3">
              <w:rPr>
                <w:rFonts w:ascii="Calibri" w:hAnsi="Calibri" w:cs="Arial"/>
                <w:b/>
                <w:bCs/>
                <w:sz w:val="22"/>
                <w:szCs w:val="22"/>
              </w:rPr>
              <w:t>Ref.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</w:tcBorders>
            <w:shd w:val="pct5" w:color="auto" w:fill="FFFFFF"/>
            <w:vAlign w:val="center"/>
          </w:tcPr>
          <w:p w14:paraId="103D1BAB" w14:textId="77777777" w:rsidR="006A29D2" w:rsidRPr="00C16616" w:rsidRDefault="00292371" w:rsidP="00B705ED">
            <w:pPr>
              <w:spacing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A35A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3210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5B1962" w14:textId="77777777" w:rsidR="006A29D2" w:rsidRPr="00C16616" w:rsidRDefault="007B72CF" w:rsidP="007B72CF">
            <w:pPr>
              <w:pStyle w:val="Annexetitle"/>
            </w:pPr>
            <w:r w:rsidRPr="007B72CF">
              <w:t xml:space="preserve">Strengthening capacities of National Quality Infrastructure (NQI) and conformity assessment (CA) services in the Republic of </w:t>
            </w:r>
            <w:r w:rsidRPr="00C16616">
              <w:t>Serbia</w:t>
            </w:r>
          </w:p>
        </w:tc>
      </w:tr>
      <w:tr w:rsidR="00292371" w:rsidRPr="00AA35A3" w14:paraId="42FBCC71" w14:textId="77777777" w:rsidTr="004B177B">
        <w:trPr>
          <w:cantSplit/>
        </w:trPr>
        <w:tc>
          <w:tcPr>
            <w:tcW w:w="834" w:type="pct"/>
            <w:tcBorders>
              <w:left w:val="single" w:sz="12" w:space="0" w:color="auto"/>
            </w:tcBorders>
            <w:shd w:val="pct5" w:color="auto" w:fill="FFFFFF"/>
            <w:vAlign w:val="center"/>
          </w:tcPr>
          <w:p w14:paraId="223FCB74" w14:textId="77777777" w:rsidR="00292371" w:rsidRPr="00C16616" w:rsidRDefault="00292371" w:rsidP="00292371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35A3">
              <w:rPr>
                <w:rFonts w:asciiTheme="minorHAnsi" w:hAnsiTheme="minorHAnsi"/>
                <w:b/>
                <w:sz w:val="22"/>
                <w:szCs w:val="22"/>
              </w:rPr>
              <w:t>Name of legal entity</w:t>
            </w:r>
          </w:p>
        </w:tc>
        <w:tc>
          <w:tcPr>
            <w:tcW w:w="478" w:type="pct"/>
            <w:shd w:val="pct5" w:color="auto" w:fill="FFFFFF"/>
            <w:vAlign w:val="center"/>
          </w:tcPr>
          <w:p w14:paraId="046CE7A7" w14:textId="77777777" w:rsidR="00292371" w:rsidRPr="00C16616" w:rsidRDefault="00292371" w:rsidP="00292371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35A3">
              <w:rPr>
                <w:rFonts w:asciiTheme="minorHAnsi" w:hAnsiTheme="minorHAnsi"/>
                <w:b/>
                <w:sz w:val="22"/>
                <w:szCs w:val="22"/>
              </w:rPr>
              <w:t>Country</w:t>
            </w:r>
          </w:p>
        </w:tc>
        <w:tc>
          <w:tcPr>
            <w:tcW w:w="478" w:type="pct"/>
            <w:shd w:val="pct5" w:color="auto" w:fill="FFFFFF"/>
            <w:vAlign w:val="center"/>
          </w:tcPr>
          <w:p w14:paraId="60FFA238" w14:textId="72DCE1DB" w:rsidR="00292371" w:rsidRPr="00C16616" w:rsidRDefault="007F517B" w:rsidP="00292371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5DAE">
              <w:rPr>
                <w:rFonts w:asciiTheme="minorHAnsi" w:hAnsiTheme="minorHAnsi"/>
                <w:b/>
                <w:sz w:val="22"/>
                <w:szCs w:val="22"/>
              </w:rPr>
              <w:t xml:space="preserve">Total project budget </w:t>
            </w:r>
            <w:r w:rsidR="00292371" w:rsidRPr="00AA35A3">
              <w:rPr>
                <w:rFonts w:asciiTheme="minorHAnsi" w:hAnsiTheme="minorHAnsi"/>
                <w:b/>
                <w:sz w:val="22"/>
                <w:szCs w:val="22"/>
              </w:rPr>
              <w:t>(EUR)</w:t>
            </w:r>
          </w:p>
        </w:tc>
        <w:tc>
          <w:tcPr>
            <w:tcW w:w="509" w:type="pct"/>
            <w:shd w:val="pct5" w:color="auto" w:fill="FFFFFF"/>
            <w:vAlign w:val="center"/>
          </w:tcPr>
          <w:p w14:paraId="49FF3328" w14:textId="77777777" w:rsidR="00292371" w:rsidRPr="00C16616" w:rsidRDefault="00292371" w:rsidP="00292371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35A3">
              <w:rPr>
                <w:rFonts w:asciiTheme="minorHAnsi" w:hAnsiTheme="minorHAnsi"/>
                <w:b/>
                <w:sz w:val="22"/>
                <w:szCs w:val="22"/>
              </w:rPr>
              <w:t>Proportion carried out by legal entity (%)</w:t>
            </w:r>
          </w:p>
        </w:tc>
        <w:tc>
          <w:tcPr>
            <w:tcW w:w="443" w:type="pct"/>
            <w:gridSpan w:val="2"/>
            <w:shd w:val="pct5" w:color="auto" w:fill="FFFFFF"/>
            <w:vAlign w:val="center"/>
          </w:tcPr>
          <w:p w14:paraId="5E5A6630" w14:textId="77777777" w:rsidR="00292371" w:rsidRPr="00C16616" w:rsidRDefault="00292371" w:rsidP="00292371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35A3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="00EE59B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AA35A3">
              <w:rPr>
                <w:rFonts w:asciiTheme="minorHAnsi" w:hAnsiTheme="minorHAnsi"/>
                <w:b/>
                <w:sz w:val="22"/>
                <w:szCs w:val="22"/>
              </w:rPr>
              <w:t xml:space="preserve"> of staff provided</w:t>
            </w:r>
          </w:p>
        </w:tc>
        <w:tc>
          <w:tcPr>
            <w:tcW w:w="516" w:type="pct"/>
            <w:shd w:val="pct5" w:color="auto" w:fill="FFFFFF"/>
            <w:vAlign w:val="center"/>
          </w:tcPr>
          <w:p w14:paraId="4D0F256A" w14:textId="77777777" w:rsidR="00292371" w:rsidRPr="00C16616" w:rsidRDefault="00292371" w:rsidP="00292371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35A3">
              <w:rPr>
                <w:rFonts w:asciiTheme="minorHAnsi" w:hAnsiTheme="minorHAnsi"/>
                <w:b/>
                <w:sz w:val="22"/>
                <w:szCs w:val="22"/>
              </w:rPr>
              <w:t>Name of client</w:t>
            </w:r>
          </w:p>
        </w:tc>
        <w:tc>
          <w:tcPr>
            <w:tcW w:w="555" w:type="pct"/>
            <w:shd w:val="pct5" w:color="auto" w:fill="FFFFFF"/>
            <w:vAlign w:val="center"/>
          </w:tcPr>
          <w:p w14:paraId="591B3583" w14:textId="77777777" w:rsidR="00292371" w:rsidRPr="00C16616" w:rsidRDefault="00292371" w:rsidP="00292371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35A3">
              <w:rPr>
                <w:rFonts w:asciiTheme="minorHAnsi" w:hAnsiTheme="minorHAnsi"/>
                <w:b/>
                <w:sz w:val="22"/>
                <w:szCs w:val="22"/>
              </w:rPr>
              <w:t>Origin of funding</w:t>
            </w:r>
          </w:p>
        </w:tc>
        <w:tc>
          <w:tcPr>
            <w:tcW w:w="494" w:type="pct"/>
            <w:shd w:val="pct5" w:color="auto" w:fill="FFFFFF"/>
            <w:vAlign w:val="center"/>
          </w:tcPr>
          <w:p w14:paraId="03E0D2E9" w14:textId="77777777" w:rsidR="00292371" w:rsidRPr="00C16616" w:rsidRDefault="00292371" w:rsidP="00292371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35A3">
              <w:rPr>
                <w:rFonts w:asciiTheme="minorHAnsi" w:hAnsiTheme="minorHAnsi"/>
                <w:b/>
                <w:sz w:val="22"/>
                <w:szCs w:val="22"/>
              </w:rPr>
              <w:t>Dates (start/end)</w:t>
            </w:r>
          </w:p>
        </w:tc>
        <w:tc>
          <w:tcPr>
            <w:tcW w:w="693" w:type="pct"/>
            <w:tcBorders>
              <w:right w:val="single" w:sz="12" w:space="0" w:color="auto"/>
            </w:tcBorders>
            <w:shd w:val="pct5" w:color="auto" w:fill="FFFFFF"/>
            <w:vAlign w:val="center"/>
          </w:tcPr>
          <w:p w14:paraId="6307F2D5" w14:textId="77777777" w:rsidR="00292371" w:rsidRPr="00C16616" w:rsidRDefault="00292371" w:rsidP="00292371">
            <w:pPr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35A3">
              <w:rPr>
                <w:rFonts w:asciiTheme="minorHAnsi" w:hAnsiTheme="minorHAnsi"/>
                <w:b/>
                <w:sz w:val="22"/>
                <w:szCs w:val="22"/>
              </w:rPr>
              <w:t>Name of consortium members, if any</w:t>
            </w:r>
          </w:p>
        </w:tc>
      </w:tr>
      <w:tr w:rsidR="00047DE8" w:rsidRPr="00AA35A3" w14:paraId="04E578EA" w14:textId="77777777" w:rsidTr="004B177B">
        <w:trPr>
          <w:cantSplit/>
        </w:trPr>
        <w:tc>
          <w:tcPr>
            <w:tcW w:w="834" w:type="pct"/>
            <w:tcBorders>
              <w:left w:val="single" w:sz="12" w:space="0" w:color="auto"/>
            </w:tcBorders>
            <w:vAlign w:val="center"/>
          </w:tcPr>
          <w:p w14:paraId="50DED694" w14:textId="77777777" w:rsidR="006A29D2" w:rsidRPr="00C16616" w:rsidRDefault="006A29D2" w:rsidP="00B705ED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FDAC934" w14:textId="77777777" w:rsidR="006A29D2" w:rsidRPr="00C16616" w:rsidRDefault="006A29D2" w:rsidP="00B705ED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A35A3">
              <w:rPr>
                <w:rFonts w:ascii="Calibri" w:hAnsi="Calibri" w:cs="Arial"/>
                <w:noProof/>
                <w:color w:val="548DD4" w:themeColor="text2" w:themeTint="99"/>
                <w:sz w:val="22"/>
                <w:szCs w:val="22"/>
                <w:lang w:val="cs-CZ" w:eastAsia="cs-CZ"/>
              </w:rPr>
              <w:drawing>
                <wp:inline distT="0" distB="0" distL="0" distR="0" wp14:anchorId="408C2F3A" wp14:editId="5CFCA028">
                  <wp:extent cx="1224915" cy="431165"/>
                  <wp:effectExtent l="0" t="0" r="0" b="6985"/>
                  <wp:docPr id="2" name="Obrázek 2" descr="Logo UN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M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6596C6" w14:textId="77777777" w:rsidR="006A29D2" w:rsidRPr="00C16616" w:rsidRDefault="006A29D2" w:rsidP="00B705ED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14:paraId="6F55FD53" w14:textId="77777777" w:rsidR="006A29D2" w:rsidRPr="00C16616" w:rsidRDefault="00AA35A3" w:rsidP="00B705ED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A35A3">
              <w:rPr>
                <w:bCs/>
              </w:rPr>
              <w:t>Republic of Serb</w:t>
            </w:r>
            <w:r w:rsidRPr="00AA35A3">
              <w:t>ia</w:t>
            </w:r>
          </w:p>
        </w:tc>
        <w:tc>
          <w:tcPr>
            <w:tcW w:w="478" w:type="pct"/>
            <w:vAlign w:val="center"/>
          </w:tcPr>
          <w:p w14:paraId="50E4395C" w14:textId="77777777" w:rsidR="00FD3CE3" w:rsidRPr="00AA35A3" w:rsidRDefault="004675C3" w:rsidP="00D204A1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A35A3">
              <w:rPr>
                <w:rFonts w:ascii="Calibri" w:hAnsi="Calibri" w:cs="Arial"/>
                <w:sz w:val="22"/>
                <w:szCs w:val="22"/>
              </w:rPr>
              <w:t>1 000 000</w:t>
            </w:r>
          </w:p>
        </w:tc>
        <w:tc>
          <w:tcPr>
            <w:tcW w:w="509" w:type="pct"/>
            <w:vAlign w:val="center"/>
          </w:tcPr>
          <w:p w14:paraId="5E7960F3" w14:textId="2DCEABE5" w:rsidR="006A29D2" w:rsidRPr="00AA35A3" w:rsidRDefault="00924505" w:rsidP="00B705ED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approx.</w:t>
            </w:r>
            <w:r w:rsidR="00A8606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711F0"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443" w:type="pct"/>
            <w:gridSpan w:val="2"/>
            <w:vAlign w:val="center"/>
          </w:tcPr>
          <w:p w14:paraId="71894502" w14:textId="77777777" w:rsidR="006A29D2" w:rsidRPr="00AA35A3" w:rsidRDefault="00C8647B" w:rsidP="00B705ED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A35A3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516" w:type="pct"/>
            <w:vAlign w:val="center"/>
          </w:tcPr>
          <w:p w14:paraId="3A294BCC" w14:textId="77777777" w:rsidR="006A29D2" w:rsidRPr="00AA35A3" w:rsidRDefault="00BC05D8" w:rsidP="00B705ED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AA35A3">
              <w:rPr>
                <w:rFonts w:ascii="Calibri" w:hAnsi="Calibri"/>
                <w:sz w:val="22"/>
                <w:szCs w:val="22"/>
              </w:rPr>
              <w:t>Government of Serbia</w:t>
            </w:r>
          </w:p>
        </w:tc>
        <w:tc>
          <w:tcPr>
            <w:tcW w:w="555" w:type="pct"/>
            <w:vAlign w:val="center"/>
          </w:tcPr>
          <w:p w14:paraId="5D4DA481" w14:textId="77777777" w:rsidR="006A29D2" w:rsidRPr="00AA35A3" w:rsidRDefault="006A29D2" w:rsidP="00BC05D8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A35A3">
              <w:rPr>
                <w:rFonts w:ascii="Calibri" w:hAnsi="Calibri" w:cs="Arial"/>
                <w:sz w:val="22"/>
                <w:szCs w:val="22"/>
              </w:rPr>
              <w:t xml:space="preserve">EU – </w:t>
            </w:r>
            <w:r w:rsidR="00BC05D8" w:rsidRPr="00AA35A3">
              <w:rPr>
                <w:rFonts w:ascii="Calibri" w:hAnsi="Calibri" w:cs="Arial"/>
                <w:sz w:val="22"/>
                <w:szCs w:val="22"/>
              </w:rPr>
              <w:t>Financing agreement, NSI Programme</w:t>
            </w:r>
          </w:p>
        </w:tc>
        <w:tc>
          <w:tcPr>
            <w:tcW w:w="494" w:type="pct"/>
            <w:vAlign w:val="center"/>
          </w:tcPr>
          <w:p w14:paraId="06ACC913" w14:textId="7E96C74B" w:rsidR="006A29D2" w:rsidRPr="00C16616" w:rsidRDefault="0083783F" w:rsidP="0083783F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A35A3">
              <w:rPr>
                <w:rFonts w:ascii="Calibri" w:hAnsi="Calibri" w:cs="Arial"/>
                <w:sz w:val="22"/>
                <w:szCs w:val="22"/>
              </w:rPr>
              <w:t>10</w:t>
            </w:r>
            <w:r w:rsidR="006A29D2" w:rsidRPr="00AA35A3">
              <w:rPr>
                <w:rFonts w:ascii="Calibri" w:hAnsi="Calibri" w:cs="Arial"/>
                <w:sz w:val="22"/>
                <w:szCs w:val="22"/>
              </w:rPr>
              <w:t>/201</w:t>
            </w:r>
            <w:r w:rsidRPr="00AA35A3">
              <w:rPr>
                <w:rFonts w:ascii="Calibri" w:hAnsi="Calibri" w:cs="Arial"/>
                <w:sz w:val="22"/>
                <w:szCs w:val="22"/>
              </w:rPr>
              <w:t>5</w:t>
            </w:r>
            <w:r w:rsidR="0018680A">
              <w:rPr>
                <w:rFonts w:ascii="Calibri" w:hAnsi="Calibri" w:cs="Arial"/>
                <w:sz w:val="22"/>
                <w:szCs w:val="22"/>
              </w:rPr>
              <w:t xml:space="preserve"> - 10</w:t>
            </w:r>
            <w:r w:rsidR="006A29D2" w:rsidRPr="00AA35A3">
              <w:rPr>
                <w:rFonts w:ascii="Calibri" w:hAnsi="Calibri" w:cs="Arial"/>
                <w:sz w:val="22"/>
                <w:szCs w:val="22"/>
              </w:rPr>
              <w:t>/2017</w:t>
            </w:r>
          </w:p>
        </w:tc>
        <w:tc>
          <w:tcPr>
            <w:tcW w:w="693" w:type="pct"/>
            <w:tcBorders>
              <w:right w:val="single" w:sz="12" w:space="0" w:color="auto"/>
            </w:tcBorders>
            <w:vAlign w:val="center"/>
          </w:tcPr>
          <w:p w14:paraId="2DAA9A12" w14:textId="27EA216C" w:rsidR="006A29D2" w:rsidRPr="00C16616" w:rsidRDefault="00924505" w:rsidP="00B705ED">
            <w:pPr>
              <w:widowControl w:val="0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UNMZ, </w:t>
            </w:r>
            <w:r w:rsidR="0083783F" w:rsidRPr="00AA35A3">
              <w:rPr>
                <w:rFonts w:ascii="Calibri" w:hAnsi="Calibri" w:cs="Arial"/>
                <w:sz w:val="22"/>
                <w:szCs w:val="22"/>
              </w:rPr>
              <w:t>ČMI, ČIA</w:t>
            </w:r>
          </w:p>
        </w:tc>
      </w:tr>
      <w:tr w:rsidR="00047DE8" w:rsidRPr="00AA35A3" w14:paraId="7E949CB0" w14:textId="77777777" w:rsidTr="004B177B">
        <w:trPr>
          <w:cantSplit/>
        </w:trPr>
        <w:tc>
          <w:tcPr>
            <w:tcW w:w="3258" w:type="pct"/>
            <w:gridSpan w:val="7"/>
            <w:tcBorders>
              <w:left w:val="single" w:sz="12" w:space="0" w:color="auto"/>
            </w:tcBorders>
            <w:shd w:val="pct5" w:color="auto" w:fill="FFFFFF"/>
            <w:vAlign w:val="center"/>
          </w:tcPr>
          <w:p w14:paraId="725C4A59" w14:textId="77777777" w:rsidR="006A29D2" w:rsidRPr="00C16616" w:rsidRDefault="00AA35A3" w:rsidP="00B705ED">
            <w:pPr>
              <w:keepNext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35A3">
              <w:rPr>
                <w:rFonts w:ascii="Calibri" w:hAnsi="Calibri"/>
                <w:b/>
                <w:sz w:val="22"/>
                <w:szCs w:val="22"/>
              </w:rPr>
              <w:t>Detailed description of project</w:t>
            </w:r>
            <w:bookmarkStart w:id="0" w:name="_GoBack"/>
            <w:bookmarkEnd w:id="0"/>
          </w:p>
        </w:tc>
        <w:tc>
          <w:tcPr>
            <w:tcW w:w="1742" w:type="pct"/>
            <w:gridSpan w:val="3"/>
            <w:tcBorders>
              <w:right w:val="single" w:sz="12" w:space="0" w:color="auto"/>
            </w:tcBorders>
            <w:shd w:val="pct5" w:color="auto" w:fill="FFFFFF"/>
            <w:vAlign w:val="center"/>
          </w:tcPr>
          <w:p w14:paraId="599D3204" w14:textId="77777777" w:rsidR="006A29D2" w:rsidRPr="00C16616" w:rsidRDefault="00AA35A3" w:rsidP="00B705ED">
            <w:pPr>
              <w:keepNext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35A3">
              <w:rPr>
                <w:rFonts w:ascii="Calibri" w:hAnsi="Calibri"/>
                <w:b/>
                <w:sz w:val="22"/>
                <w:szCs w:val="22"/>
              </w:rPr>
              <w:t>Predefined Project Objectives</w:t>
            </w:r>
          </w:p>
        </w:tc>
      </w:tr>
      <w:tr w:rsidR="00047DE8" w:rsidRPr="00AA35A3" w14:paraId="4D8BEEFB" w14:textId="77777777" w:rsidTr="00664022">
        <w:tc>
          <w:tcPr>
            <w:tcW w:w="2500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4C18F4" w14:textId="77777777" w:rsidR="003B61ED" w:rsidRPr="004C5D23" w:rsidRDefault="00292371" w:rsidP="00241CAB">
            <w:pPr>
              <w:pStyle w:val="HDbodytable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C5D23">
              <w:rPr>
                <w:rFonts w:asciiTheme="minorHAnsi" w:hAnsiTheme="minorHAnsi"/>
                <w:sz w:val="22"/>
                <w:szCs w:val="22"/>
              </w:rPr>
              <w:t>Outcome:</w:t>
            </w:r>
          </w:p>
          <w:p w14:paraId="786B242E" w14:textId="777B291D" w:rsidR="00664022" w:rsidRPr="00AF26E1" w:rsidRDefault="008A3980" w:rsidP="00D27815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A3980">
              <w:rPr>
                <w:rFonts w:asciiTheme="minorHAnsi" w:hAnsiTheme="minorHAnsi" w:cs="Arial"/>
                <w:sz w:val="22"/>
                <w:szCs w:val="22"/>
              </w:rPr>
              <w:t xml:space="preserve">Improvement of </w:t>
            </w:r>
            <w:r w:rsidR="00D877EF" w:rsidRPr="00FF35DD">
              <w:rPr>
                <w:rFonts w:asciiTheme="minorHAnsi" w:hAnsiTheme="minorHAnsi" w:cs="Arial"/>
                <w:sz w:val="22"/>
                <w:szCs w:val="22"/>
              </w:rPr>
              <w:t xml:space="preserve">competitiveness of Serbian enterprises and </w:t>
            </w:r>
            <w:r w:rsidR="00FF35DD" w:rsidRPr="00FF35DD">
              <w:rPr>
                <w:rFonts w:asciiTheme="minorHAnsi" w:hAnsiTheme="minorHAnsi" w:cs="Arial"/>
                <w:sz w:val="22"/>
                <w:szCs w:val="22"/>
              </w:rPr>
              <w:t>industry in the EU market.</w:t>
            </w:r>
            <w:r w:rsidRPr="008A398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157FEC2" w14:textId="77777777" w:rsidR="00BC05D8" w:rsidRPr="004C5D23" w:rsidRDefault="00BC05D8" w:rsidP="00BC05D8">
            <w:pPr>
              <w:pStyle w:val="HDbodytable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C5D23">
              <w:rPr>
                <w:rFonts w:asciiTheme="minorHAnsi" w:hAnsiTheme="minorHAnsi"/>
                <w:sz w:val="22"/>
                <w:szCs w:val="22"/>
              </w:rPr>
              <w:t>Overall objective</w:t>
            </w:r>
          </w:p>
          <w:p w14:paraId="67D530AA" w14:textId="7FF68798" w:rsidR="00453FDC" w:rsidRPr="008A3980" w:rsidRDefault="00AC46C4" w:rsidP="00B45986">
            <w:pPr>
              <w:pStyle w:val="HDbodytable"/>
              <w:numPr>
                <w:ilvl w:val="0"/>
                <w:numId w:val="17"/>
              </w:num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improvement</w:t>
            </w:r>
            <w:r w:rsidRPr="008A39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="008A3980" w:rsidRPr="008A3980">
              <w:rPr>
                <w:rFonts w:asciiTheme="minorHAnsi" w:hAnsiTheme="minorHAnsi"/>
                <w:sz w:val="22"/>
                <w:szCs w:val="22"/>
              </w:rPr>
              <w:t xml:space="preserve">technical legislation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enforcement </w:t>
            </w:r>
            <w:r w:rsidR="003646BB">
              <w:rPr>
                <w:rFonts w:asciiTheme="minorHAnsi" w:hAnsiTheme="minorHAnsi"/>
                <w:sz w:val="22"/>
                <w:szCs w:val="22"/>
              </w:rPr>
              <w:t xml:space="preserve">by </w:t>
            </w:r>
            <w:r w:rsidR="008A3980" w:rsidRPr="008A3980">
              <w:rPr>
                <w:rFonts w:asciiTheme="minorHAnsi" w:hAnsiTheme="minorHAnsi"/>
                <w:sz w:val="22"/>
                <w:szCs w:val="22"/>
              </w:rPr>
              <w:t>further harmonization with EU product legislation</w:t>
            </w:r>
            <w:r w:rsidR="00453FDC" w:rsidRPr="008A3980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8B8E1F1" w14:textId="6629538B" w:rsidR="00453FDC" w:rsidRPr="00485B2A" w:rsidRDefault="00AC46C4" w:rsidP="00B45986">
            <w:pPr>
              <w:pStyle w:val="HDbodytable"/>
              <w:numPr>
                <w:ilvl w:val="0"/>
                <w:numId w:val="17"/>
              </w:num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improvement </w:t>
            </w:r>
            <w:r w:rsidR="00DD571A">
              <w:rPr>
                <w:rFonts w:asciiTheme="minorHAnsi" w:hAnsiTheme="minorHAnsi"/>
                <w:sz w:val="22"/>
                <w:szCs w:val="22"/>
              </w:rPr>
              <w:t>and strengthen</w:t>
            </w:r>
            <w:r w:rsidR="003646BB">
              <w:rPr>
                <w:rFonts w:asciiTheme="minorHAnsi" w:hAnsiTheme="minorHAnsi"/>
                <w:sz w:val="22"/>
                <w:szCs w:val="22"/>
              </w:rPr>
              <w:t>ing</w:t>
            </w:r>
            <w:r w:rsidR="00DD57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3CA4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="008A3980">
              <w:rPr>
                <w:rFonts w:asciiTheme="minorHAnsi" w:hAnsiTheme="minorHAnsi"/>
                <w:sz w:val="22"/>
                <w:szCs w:val="22"/>
              </w:rPr>
              <w:t xml:space="preserve">capacities of </w:t>
            </w:r>
            <w:r w:rsidR="005B7C2E">
              <w:rPr>
                <w:rFonts w:asciiTheme="minorHAnsi" w:hAnsiTheme="minorHAnsi"/>
                <w:sz w:val="22"/>
                <w:szCs w:val="22"/>
              </w:rPr>
              <w:t>institution</w:t>
            </w:r>
            <w:r w:rsidR="007C57C4">
              <w:rPr>
                <w:rFonts w:asciiTheme="minorHAnsi" w:hAnsiTheme="minorHAnsi"/>
                <w:sz w:val="22"/>
                <w:szCs w:val="22"/>
              </w:rPr>
              <w:t>s</w:t>
            </w:r>
            <w:r w:rsidR="005B7C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14EA" w:rsidRPr="00AF26E1">
              <w:rPr>
                <w:rFonts w:asciiTheme="minorHAnsi" w:hAnsiTheme="minorHAnsi"/>
                <w:sz w:val="22"/>
                <w:szCs w:val="22"/>
              </w:rPr>
              <w:t>(</w:t>
            </w:r>
            <w:r w:rsidR="00AF26E1">
              <w:rPr>
                <w:rFonts w:asciiTheme="minorHAnsi" w:hAnsiTheme="minorHAnsi"/>
                <w:sz w:val="22"/>
                <w:szCs w:val="22"/>
              </w:rPr>
              <w:t>especially Serbian Ministry of Economy</w:t>
            </w:r>
            <w:r w:rsidR="00D414EA" w:rsidRPr="005B7C2E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5B7C2E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/>
                <w:sz w:val="22"/>
                <w:szCs w:val="22"/>
              </w:rPr>
              <w:t>QI Sector</w:t>
            </w:r>
            <w:r w:rsidR="005B7C2E">
              <w:rPr>
                <w:rFonts w:asciiTheme="minorHAnsi" w:hAnsiTheme="minorHAnsi"/>
                <w:sz w:val="22"/>
                <w:szCs w:val="22"/>
              </w:rPr>
              <w:t xml:space="preserve"> with the objective to </w:t>
            </w:r>
            <w:r w:rsidR="005B7C2E" w:rsidRPr="005B7C2E">
              <w:rPr>
                <w:rFonts w:asciiTheme="minorHAnsi" w:hAnsiTheme="minorHAnsi"/>
                <w:sz w:val="22"/>
                <w:szCs w:val="22"/>
              </w:rPr>
              <w:t>exte</w:t>
            </w:r>
            <w:r w:rsidR="005B7C2E">
              <w:rPr>
                <w:rFonts w:asciiTheme="minorHAnsi" w:hAnsiTheme="minorHAnsi"/>
                <w:sz w:val="22"/>
                <w:szCs w:val="22"/>
              </w:rPr>
              <w:t xml:space="preserve">nd the possibilities for </w:t>
            </w:r>
            <w:r w:rsidR="00485B2A">
              <w:rPr>
                <w:rFonts w:asciiTheme="minorHAnsi" w:hAnsiTheme="minorHAnsi"/>
                <w:sz w:val="22"/>
                <w:szCs w:val="22"/>
              </w:rPr>
              <w:t xml:space="preserve">providing </w:t>
            </w:r>
            <w:r w:rsidR="005B7C2E">
              <w:rPr>
                <w:rFonts w:asciiTheme="minorHAnsi" w:hAnsiTheme="minorHAnsi"/>
                <w:sz w:val="22"/>
                <w:szCs w:val="22"/>
              </w:rPr>
              <w:t xml:space="preserve">assistance </w:t>
            </w:r>
            <w:r w:rsidR="00485B2A">
              <w:rPr>
                <w:rFonts w:asciiTheme="minorHAnsi" w:hAnsiTheme="minorHAnsi"/>
                <w:sz w:val="22"/>
                <w:szCs w:val="22"/>
              </w:rPr>
              <w:t>and services,</w:t>
            </w:r>
          </w:p>
          <w:p w14:paraId="67C0C1E0" w14:textId="54EF4C30" w:rsidR="00DE1686" w:rsidRPr="00DE1686" w:rsidRDefault="00DE1686" w:rsidP="00B45986">
            <w:pPr>
              <w:pStyle w:val="HDbodytable"/>
              <w:numPr>
                <w:ilvl w:val="0"/>
                <w:numId w:val="17"/>
              </w:num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strengthen</w:t>
            </w:r>
            <w:r w:rsidR="000E05F5">
              <w:rPr>
                <w:rFonts w:asciiTheme="minorHAnsi" w:hAnsiTheme="minorHAnsi"/>
                <w:sz w:val="22"/>
                <w:szCs w:val="22"/>
              </w:rPr>
              <w:t>ing</w:t>
            </w:r>
            <w:r w:rsidR="004C5D23">
              <w:rPr>
                <w:rFonts w:asciiTheme="minorHAnsi" w:hAnsiTheme="minorHAnsi"/>
                <w:sz w:val="22"/>
                <w:szCs w:val="22"/>
              </w:rPr>
              <w:t xml:space="preserve"> capacities of QI institutions (Directorate for Measures and Precious Metals,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C5D23">
              <w:rPr>
                <w:rFonts w:asciiTheme="minorHAnsi" w:hAnsiTheme="minorHAnsi"/>
                <w:sz w:val="22"/>
                <w:szCs w:val="22"/>
              </w:rPr>
              <w:t xml:space="preserve">Accreditation body of Serbia and </w:t>
            </w:r>
            <w:r w:rsidR="004C5D23" w:rsidRPr="004C5D23">
              <w:rPr>
                <w:rFonts w:asciiTheme="minorHAnsi" w:hAnsiTheme="minorHAnsi"/>
                <w:sz w:val="22"/>
                <w:szCs w:val="22"/>
              </w:rPr>
              <w:t>Conformity assessment bodies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for implementation of </w:t>
            </w:r>
            <w:r w:rsidR="000E05F5">
              <w:rPr>
                <w:rFonts w:asciiTheme="minorHAnsi" w:hAnsiTheme="minorHAnsi"/>
                <w:sz w:val="22"/>
                <w:szCs w:val="22"/>
              </w:rPr>
              <w:t xml:space="preserve">selected </w:t>
            </w:r>
            <w:r>
              <w:rPr>
                <w:rFonts w:asciiTheme="minorHAnsi" w:hAnsiTheme="minorHAnsi"/>
                <w:sz w:val="22"/>
                <w:szCs w:val="22"/>
              </w:rPr>
              <w:t>technical regulations and standards,</w:t>
            </w:r>
          </w:p>
          <w:p w14:paraId="68DA9ACB" w14:textId="77777777" w:rsidR="00DE1686" w:rsidRPr="004C5D23" w:rsidRDefault="00753349" w:rsidP="00B45986">
            <w:pPr>
              <w:pStyle w:val="HDbodytable"/>
              <w:numPr>
                <w:ilvl w:val="0"/>
                <w:numId w:val="17"/>
              </w:num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increasing </w:t>
            </w:r>
            <w:r w:rsidR="00DE1686" w:rsidRPr="00DE1686">
              <w:rPr>
                <w:rFonts w:asciiTheme="minorHAnsi" w:hAnsiTheme="minorHAnsi"/>
                <w:sz w:val="22"/>
                <w:szCs w:val="22"/>
              </w:rPr>
              <w:t>public awareness regarding the importance of EU technical regulation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DE1686" w:rsidRPr="00DE168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5715795" w14:textId="77777777" w:rsidR="00664022" w:rsidRPr="004C5D23" w:rsidRDefault="00664022" w:rsidP="00DE1686">
            <w:pPr>
              <w:pStyle w:val="HDbodytable"/>
              <w:spacing w:before="120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39AFF2" w14:textId="50542A19" w:rsidR="00AC639B" w:rsidRPr="007F276D" w:rsidRDefault="007F276D" w:rsidP="00670CE1">
            <w:pPr>
              <w:spacing w:after="120"/>
              <w:jc w:val="both"/>
              <w:rPr>
                <w:rFonts w:asciiTheme="minorHAnsi" w:hAnsiTheme="minorHAnsi" w:cs="Arial"/>
                <w:b/>
              </w:rPr>
            </w:pPr>
            <w:r w:rsidRPr="007F276D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The project </w:t>
            </w:r>
            <w:r w:rsidR="00AE0496">
              <w:rPr>
                <w:rFonts w:asciiTheme="minorHAnsi" w:hAnsiTheme="minorHAnsi" w:cs="Arial"/>
                <w:b/>
                <w:sz w:val="22"/>
                <w:szCs w:val="22"/>
              </w:rPr>
              <w:t>was</w:t>
            </w:r>
            <w:r w:rsidRPr="007F276D">
              <w:rPr>
                <w:rFonts w:asciiTheme="minorHAnsi" w:hAnsiTheme="minorHAnsi" w:cs="Arial"/>
                <w:b/>
                <w:sz w:val="22"/>
                <w:szCs w:val="22"/>
              </w:rPr>
              <w:t xml:space="preserve"> focus</w:t>
            </w:r>
            <w:r w:rsidR="00AE0496">
              <w:rPr>
                <w:rFonts w:asciiTheme="minorHAnsi" w:hAnsiTheme="minorHAnsi" w:cs="Arial"/>
                <w:b/>
                <w:sz w:val="22"/>
                <w:szCs w:val="22"/>
              </w:rPr>
              <w:t>ed</w:t>
            </w:r>
            <w:r w:rsidRPr="007F276D">
              <w:rPr>
                <w:rFonts w:asciiTheme="minorHAnsi" w:hAnsiTheme="minorHAnsi" w:cs="Arial"/>
                <w:b/>
                <w:sz w:val="22"/>
                <w:szCs w:val="22"/>
              </w:rPr>
              <w:t xml:space="preserve"> mainly on the following results:</w:t>
            </w:r>
          </w:p>
          <w:p w14:paraId="281F8EF6" w14:textId="2E5E08A3" w:rsidR="009E7F06" w:rsidRPr="00C12DEA" w:rsidRDefault="00AC46C4" w:rsidP="009E7F06">
            <w:pPr>
              <w:pStyle w:val="Odstavecseseznamem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preparation</w:t>
            </w:r>
            <w:r w:rsidRPr="00C12DEA">
              <w:rPr>
                <w:rFonts w:asciiTheme="minorHAnsi" w:hAnsiTheme="minorHAnsi" w:cs="Arial"/>
                <w:lang w:val="en-GB"/>
              </w:rPr>
              <w:t xml:space="preserve"> </w:t>
            </w:r>
            <w:r w:rsidR="00FF7687" w:rsidRPr="00C12DEA">
              <w:rPr>
                <w:rFonts w:asciiTheme="minorHAnsi" w:hAnsiTheme="minorHAnsi" w:cs="Arial"/>
                <w:lang w:val="en-GB"/>
              </w:rPr>
              <w:t xml:space="preserve">of </w:t>
            </w:r>
            <w:r>
              <w:rPr>
                <w:rFonts w:asciiTheme="minorHAnsi" w:hAnsiTheme="minorHAnsi" w:cs="Arial"/>
                <w:lang w:val="en-GB"/>
              </w:rPr>
              <w:t xml:space="preserve">draft of </w:t>
            </w:r>
            <w:r w:rsidR="00FF7687" w:rsidRPr="00C12DEA">
              <w:rPr>
                <w:rFonts w:asciiTheme="minorHAnsi" w:hAnsiTheme="minorHAnsi" w:cs="Arial"/>
                <w:lang w:val="en-GB"/>
              </w:rPr>
              <w:t xml:space="preserve">new </w:t>
            </w:r>
            <w:r>
              <w:rPr>
                <w:rFonts w:asciiTheme="minorHAnsi" w:hAnsiTheme="minorHAnsi" w:cs="Arial"/>
                <w:lang w:val="en-GB"/>
              </w:rPr>
              <w:t>Metrology Law</w:t>
            </w:r>
            <w:r w:rsidR="00FF7687" w:rsidRPr="00C12DEA">
              <w:rPr>
                <w:rFonts w:asciiTheme="minorHAnsi" w:hAnsiTheme="minorHAnsi" w:cs="Arial"/>
                <w:lang w:val="en-GB"/>
              </w:rPr>
              <w:t xml:space="preserve"> and revision of the secondary legislation in the area of metrology and pre</w:t>
            </w:r>
            <w:r w:rsidR="00113CA4">
              <w:rPr>
                <w:rFonts w:asciiTheme="minorHAnsi" w:hAnsiTheme="minorHAnsi" w:cs="Arial"/>
                <w:lang w:val="en-GB"/>
              </w:rPr>
              <w:t>-</w:t>
            </w:r>
            <w:r w:rsidR="00FF7687" w:rsidRPr="00C12DEA">
              <w:rPr>
                <w:rFonts w:asciiTheme="minorHAnsi" w:hAnsiTheme="minorHAnsi" w:cs="Arial"/>
                <w:lang w:val="en-GB"/>
              </w:rPr>
              <w:t>package</w:t>
            </w:r>
            <w:r w:rsidR="00113CA4">
              <w:rPr>
                <w:rFonts w:asciiTheme="minorHAnsi" w:hAnsiTheme="minorHAnsi" w:cs="Arial"/>
                <w:lang w:val="en-GB"/>
              </w:rPr>
              <w:t>d products</w:t>
            </w:r>
            <w:r w:rsidR="00FF7687" w:rsidRPr="00C12DEA">
              <w:rPr>
                <w:rFonts w:asciiTheme="minorHAnsi" w:hAnsiTheme="minorHAnsi" w:cs="Arial"/>
                <w:lang w:val="en-GB"/>
              </w:rPr>
              <w:t>,</w:t>
            </w:r>
          </w:p>
          <w:p w14:paraId="5DBC481C" w14:textId="77777777" w:rsidR="009E7F06" w:rsidRPr="00C12DEA" w:rsidRDefault="00753349" w:rsidP="009E7F06">
            <w:pPr>
              <w:pStyle w:val="Odstavecseseznamem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Theme="minorHAnsi" w:hAnsiTheme="minorHAnsi" w:cs="Arial"/>
                <w:lang w:val="en-GB"/>
              </w:rPr>
            </w:pPr>
            <w:r w:rsidRPr="00C12DEA">
              <w:rPr>
                <w:rFonts w:asciiTheme="minorHAnsi" w:hAnsiTheme="minorHAnsi" w:cs="Arial"/>
                <w:lang w:val="en-GB"/>
              </w:rPr>
              <w:t>r</w:t>
            </w:r>
            <w:r w:rsidR="00FF7687" w:rsidRPr="00C12DEA">
              <w:rPr>
                <w:rFonts w:asciiTheme="minorHAnsi" w:hAnsiTheme="minorHAnsi" w:cs="Arial"/>
                <w:lang w:val="en-GB"/>
              </w:rPr>
              <w:t xml:space="preserve">evision and implementation of the </w:t>
            </w:r>
            <w:r w:rsidR="00756526" w:rsidRPr="00C12DEA">
              <w:rPr>
                <w:rFonts w:asciiTheme="minorHAnsi" w:hAnsiTheme="minorHAnsi" w:cs="Arial"/>
                <w:lang w:val="en-GB"/>
              </w:rPr>
              <w:t xml:space="preserve">Action plan for non-harmonized area and </w:t>
            </w:r>
            <w:r w:rsidR="00D0268A" w:rsidRPr="00C12DEA">
              <w:rPr>
                <w:rFonts w:asciiTheme="minorHAnsi" w:hAnsiTheme="minorHAnsi" w:cs="Arial"/>
                <w:lang w:val="en-GB"/>
              </w:rPr>
              <w:t>follow-up review and revision of the legislation in this area,</w:t>
            </w:r>
            <w:r w:rsidR="00FF7687" w:rsidRPr="00C12DEA">
              <w:rPr>
                <w:rFonts w:asciiTheme="minorHAnsi" w:hAnsiTheme="minorHAnsi" w:cs="Arial"/>
                <w:lang w:val="en-GB"/>
              </w:rPr>
              <w:t xml:space="preserve"> </w:t>
            </w:r>
          </w:p>
          <w:p w14:paraId="1B2744B9" w14:textId="687E21F0" w:rsidR="009E7F06" w:rsidRPr="00C12DEA" w:rsidRDefault="004E5A7B" w:rsidP="009E7F06">
            <w:pPr>
              <w:pStyle w:val="Odstavecseseznamem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Theme="minorHAnsi" w:hAnsiTheme="minorHAnsi" w:cs="Arial"/>
                <w:lang w:val="en-GB"/>
              </w:rPr>
            </w:pPr>
            <w:r w:rsidRPr="00C12DEA">
              <w:rPr>
                <w:rFonts w:asciiTheme="minorHAnsi" w:hAnsiTheme="minorHAnsi" w:cs="Arial"/>
                <w:lang w:val="en-GB"/>
              </w:rPr>
              <w:t>t</w:t>
            </w:r>
            <w:r w:rsidR="00D04C31" w:rsidRPr="00C12DEA">
              <w:rPr>
                <w:rFonts w:asciiTheme="minorHAnsi" w:hAnsiTheme="minorHAnsi" w:cs="Arial"/>
                <w:lang w:val="en-GB"/>
              </w:rPr>
              <w:t>ransposition of selected directives (lifts, cosmetics, toys, aerosols and ATEX)</w:t>
            </w:r>
            <w:r w:rsidR="00205387" w:rsidRPr="00C12DEA">
              <w:rPr>
                <w:rFonts w:asciiTheme="minorHAnsi" w:hAnsiTheme="minorHAnsi" w:cs="Arial"/>
                <w:lang w:val="en-GB"/>
              </w:rPr>
              <w:t xml:space="preserve"> </w:t>
            </w:r>
            <w:r w:rsidR="00D04C31" w:rsidRPr="00C12DEA">
              <w:rPr>
                <w:rFonts w:asciiTheme="minorHAnsi" w:hAnsiTheme="minorHAnsi" w:cs="Arial"/>
                <w:lang w:val="en-GB"/>
              </w:rPr>
              <w:t xml:space="preserve">from the chapter “Free movement of goods” </w:t>
            </w:r>
            <w:r w:rsidR="00AC46C4">
              <w:rPr>
                <w:rFonts w:asciiTheme="minorHAnsi" w:hAnsiTheme="minorHAnsi" w:cs="Arial"/>
                <w:lang w:val="en-GB"/>
              </w:rPr>
              <w:t>in</w:t>
            </w:r>
            <w:r w:rsidR="00D04C31" w:rsidRPr="00C12DEA">
              <w:rPr>
                <w:rFonts w:asciiTheme="minorHAnsi" w:hAnsiTheme="minorHAnsi" w:cs="Arial"/>
                <w:lang w:val="en-GB"/>
              </w:rPr>
              <w:t xml:space="preserve">to national legislation </w:t>
            </w:r>
            <w:r w:rsidR="006B2958" w:rsidRPr="00C12DEA">
              <w:rPr>
                <w:rFonts w:asciiTheme="minorHAnsi" w:hAnsiTheme="minorHAnsi" w:cs="Arial"/>
                <w:lang w:val="en-GB"/>
              </w:rPr>
              <w:t xml:space="preserve">according to </w:t>
            </w:r>
            <w:r w:rsidR="003E58F9" w:rsidRPr="00C12DEA">
              <w:rPr>
                <w:rFonts w:asciiTheme="minorHAnsi" w:hAnsiTheme="minorHAnsi" w:cs="Arial"/>
                <w:lang w:val="en-GB"/>
              </w:rPr>
              <w:t>NPAA (</w:t>
            </w:r>
            <w:r w:rsidR="00D04C31" w:rsidRPr="00C12DEA">
              <w:rPr>
                <w:rFonts w:asciiTheme="minorHAnsi" w:hAnsiTheme="minorHAnsi" w:cs="Arial"/>
                <w:lang w:val="en-GB"/>
              </w:rPr>
              <w:t>National</w:t>
            </w:r>
            <w:r w:rsidR="003E58F9" w:rsidRPr="00C12DEA">
              <w:rPr>
                <w:rFonts w:asciiTheme="minorHAnsi" w:hAnsiTheme="minorHAnsi" w:cs="Arial"/>
                <w:lang w:val="en-GB"/>
              </w:rPr>
              <w:t xml:space="preserve"> programme for adoption of the </w:t>
            </w:r>
            <w:r w:rsidR="00AC46C4">
              <w:rPr>
                <w:rFonts w:asciiTheme="minorHAnsi" w:hAnsiTheme="minorHAnsi" w:cs="Arial"/>
                <w:lang w:val="en-GB"/>
              </w:rPr>
              <w:t>A</w:t>
            </w:r>
            <w:r w:rsidR="003E58F9" w:rsidRPr="00C12DEA">
              <w:rPr>
                <w:rFonts w:asciiTheme="minorHAnsi" w:hAnsiTheme="minorHAnsi" w:cs="Arial"/>
                <w:lang w:val="en-GB"/>
              </w:rPr>
              <w:t>cquis),</w:t>
            </w:r>
          </w:p>
          <w:p w14:paraId="4C842BEC" w14:textId="77777777" w:rsidR="00205387" w:rsidRPr="00C12DEA" w:rsidRDefault="004E5A7B" w:rsidP="009E7F06">
            <w:pPr>
              <w:pStyle w:val="Odstavecseseznamem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Theme="minorHAnsi" w:hAnsiTheme="minorHAnsi" w:cs="Arial"/>
                <w:lang w:val="en-GB"/>
              </w:rPr>
            </w:pPr>
            <w:r w:rsidRPr="00C12DEA">
              <w:rPr>
                <w:rFonts w:asciiTheme="minorHAnsi" w:hAnsiTheme="minorHAnsi" w:cs="Arial"/>
                <w:lang w:val="en-GB"/>
              </w:rPr>
              <w:lastRenderedPageBreak/>
              <w:t>providing conditions for the implementation of the EU legislation in the chemical sector (REACH),</w:t>
            </w:r>
          </w:p>
          <w:p w14:paraId="0595D7DA" w14:textId="0377159D" w:rsidR="00C12DEA" w:rsidRPr="00DB5DAE" w:rsidRDefault="00C12DEA" w:rsidP="009E7F06">
            <w:pPr>
              <w:pStyle w:val="Odstavecseseznamem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Theme="minorHAnsi" w:hAnsiTheme="minorHAnsi" w:cs="Arial"/>
                <w:lang w:val="en-GB"/>
              </w:rPr>
            </w:pPr>
            <w:r w:rsidRPr="00C12DEA">
              <w:rPr>
                <w:rFonts w:asciiTheme="minorHAnsi" w:hAnsiTheme="minorHAnsi" w:cs="Arial"/>
                <w:lang w:val="en-GB"/>
              </w:rPr>
              <w:t>r</w:t>
            </w:r>
            <w:r w:rsidR="00241CAB" w:rsidRPr="00C12DEA">
              <w:rPr>
                <w:rFonts w:asciiTheme="minorHAnsi" w:hAnsiTheme="minorHAnsi" w:cs="Arial"/>
                <w:lang w:val="en-GB"/>
              </w:rPr>
              <w:t>evision and strengthening</w:t>
            </w:r>
            <w:r w:rsidR="00522EFA" w:rsidRPr="00C12DEA">
              <w:rPr>
                <w:rFonts w:asciiTheme="minorHAnsi" w:hAnsiTheme="minorHAnsi" w:cs="Arial"/>
                <w:lang w:val="en-GB"/>
              </w:rPr>
              <w:t xml:space="preserve"> </w:t>
            </w:r>
            <w:r w:rsidR="00AC46C4">
              <w:rPr>
                <w:rFonts w:asciiTheme="minorHAnsi" w:hAnsiTheme="minorHAnsi" w:cs="Arial"/>
                <w:lang w:val="en-GB"/>
              </w:rPr>
              <w:t xml:space="preserve">of </w:t>
            </w:r>
            <w:r w:rsidR="00522EFA" w:rsidRPr="00C12DEA">
              <w:rPr>
                <w:rFonts w:asciiTheme="minorHAnsi" w:hAnsiTheme="minorHAnsi" w:cs="Arial"/>
                <w:lang w:val="en-GB"/>
              </w:rPr>
              <w:t>institutional and legal framework for implem</w:t>
            </w:r>
            <w:r w:rsidR="00AC46C4">
              <w:rPr>
                <w:rFonts w:asciiTheme="minorHAnsi" w:hAnsiTheme="minorHAnsi" w:cs="Arial"/>
                <w:lang w:val="en-GB"/>
              </w:rPr>
              <w:t>e</w:t>
            </w:r>
            <w:r w:rsidR="00522EFA" w:rsidRPr="00C12DEA">
              <w:rPr>
                <w:rFonts w:asciiTheme="minorHAnsi" w:hAnsiTheme="minorHAnsi" w:cs="Arial"/>
                <w:lang w:val="en-GB"/>
              </w:rPr>
              <w:t>ntati</w:t>
            </w:r>
            <w:r w:rsidR="007C6C51" w:rsidRPr="00C12DEA">
              <w:rPr>
                <w:rFonts w:asciiTheme="minorHAnsi" w:hAnsiTheme="minorHAnsi" w:cs="Arial"/>
                <w:lang w:val="en-GB"/>
              </w:rPr>
              <w:t xml:space="preserve">on of EU legislation in the </w:t>
            </w:r>
            <w:r w:rsidR="00522EFA" w:rsidRPr="00C12DEA">
              <w:rPr>
                <w:rFonts w:asciiTheme="minorHAnsi" w:hAnsiTheme="minorHAnsi" w:cs="Arial"/>
                <w:lang w:val="en-GB"/>
              </w:rPr>
              <w:t>field</w:t>
            </w:r>
            <w:r w:rsidR="007C6C51" w:rsidRPr="00C12DEA">
              <w:rPr>
                <w:rFonts w:asciiTheme="minorHAnsi" w:hAnsiTheme="minorHAnsi" w:cs="Arial"/>
                <w:lang w:val="en-GB"/>
              </w:rPr>
              <w:t xml:space="preserve"> of mutual recognition and notification </w:t>
            </w:r>
            <w:r w:rsidR="00C70AE8" w:rsidRPr="00C12DEA">
              <w:rPr>
                <w:rFonts w:asciiTheme="minorHAnsi" w:hAnsiTheme="minorHAnsi" w:cs="Arial"/>
                <w:lang w:val="en-GB"/>
              </w:rPr>
              <w:t xml:space="preserve">of </w:t>
            </w:r>
            <w:r w:rsidR="007C6C51" w:rsidRPr="00C12DEA">
              <w:rPr>
                <w:rFonts w:asciiTheme="minorHAnsi" w:hAnsiTheme="minorHAnsi" w:cs="Arial"/>
                <w:lang w:val="en-GB"/>
              </w:rPr>
              <w:t xml:space="preserve">technical regulations, including support and </w:t>
            </w:r>
            <w:r w:rsidR="00AC46C4" w:rsidRPr="00C12DEA">
              <w:rPr>
                <w:rFonts w:asciiTheme="minorHAnsi" w:hAnsiTheme="minorHAnsi" w:cs="Arial"/>
                <w:lang w:val="en-GB"/>
              </w:rPr>
              <w:t>strengthening</w:t>
            </w:r>
            <w:r w:rsidR="00AC46C4">
              <w:rPr>
                <w:rFonts w:asciiTheme="minorHAnsi" w:hAnsiTheme="minorHAnsi" w:cs="Arial"/>
                <w:lang w:val="en-GB"/>
              </w:rPr>
              <w:t xml:space="preserve"> </w:t>
            </w:r>
            <w:r w:rsidR="007C6C51" w:rsidRPr="00C12DEA">
              <w:rPr>
                <w:rFonts w:asciiTheme="minorHAnsi" w:hAnsiTheme="minorHAnsi" w:cs="Arial"/>
                <w:lang w:val="en-GB"/>
              </w:rPr>
              <w:t xml:space="preserve">Contact Point for </w:t>
            </w:r>
            <w:r w:rsidR="00AC46C4">
              <w:rPr>
                <w:rFonts w:asciiTheme="minorHAnsi" w:hAnsiTheme="minorHAnsi" w:cs="Arial"/>
                <w:lang w:val="en-GB"/>
              </w:rPr>
              <w:t xml:space="preserve">fulfilling of </w:t>
            </w:r>
            <w:r w:rsidR="007C6C51" w:rsidRPr="00C12DEA">
              <w:rPr>
                <w:rFonts w:asciiTheme="minorHAnsi" w:hAnsiTheme="minorHAnsi" w:cs="Arial"/>
                <w:lang w:val="en-GB"/>
              </w:rPr>
              <w:t>obligations</w:t>
            </w:r>
            <w:r w:rsidR="00825AC8" w:rsidRPr="00C12DEA">
              <w:rPr>
                <w:rFonts w:asciiTheme="minorHAnsi" w:hAnsiTheme="minorHAnsi" w:cs="Arial"/>
                <w:lang w:val="en-GB"/>
              </w:rPr>
              <w:t xml:space="preserve"> </w:t>
            </w:r>
            <w:r w:rsidR="00AC46C4">
              <w:rPr>
                <w:rFonts w:asciiTheme="minorHAnsi" w:hAnsiTheme="minorHAnsi" w:cs="Arial"/>
                <w:lang w:val="en-GB"/>
              </w:rPr>
              <w:t xml:space="preserve">in accordance </w:t>
            </w:r>
            <w:r w:rsidR="00AC46C4" w:rsidRPr="00DB5DAE">
              <w:rPr>
                <w:rFonts w:asciiTheme="minorHAnsi" w:hAnsiTheme="minorHAnsi" w:cs="Arial"/>
                <w:lang w:val="en-GB"/>
              </w:rPr>
              <w:t>with the</w:t>
            </w:r>
            <w:r w:rsidR="00825AC8" w:rsidRPr="00DB5DAE">
              <w:rPr>
                <w:rFonts w:asciiTheme="minorHAnsi" w:hAnsiTheme="minorHAnsi" w:cs="Arial"/>
                <w:lang w:val="en-GB"/>
              </w:rPr>
              <w:t xml:space="preserve"> above </w:t>
            </w:r>
            <w:r w:rsidR="00C70AE8" w:rsidRPr="00DB5DAE">
              <w:rPr>
                <w:rFonts w:asciiTheme="minorHAnsi" w:hAnsiTheme="minorHAnsi" w:cs="Arial"/>
                <w:lang w:val="en-GB"/>
              </w:rPr>
              <w:t xml:space="preserve">mentioned </w:t>
            </w:r>
            <w:r w:rsidR="00113CA4" w:rsidRPr="00DB5DAE">
              <w:rPr>
                <w:rFonts w:asciiTheme="minorHAnsi" w:hAnsiTheme="minorHAnsi" w:cs="Arial"/>
                <w:lang w:val="en-GB"/>
              </w:rPr>
              <w:t>European l</w:t>
            </w:r>
            <w:r w:rsidR="00825AC8" w:rsidRPr="00DB5DAE">
              <w:rPr>
                <w:lang w:val="en-GB"/>
              </w:rPr>
              <w:t>egislation</w:t>
            </w:r>
            <w:r w:rsidR="00AC46C4" w:rsidRPr="00DB5DAE">
              <w:rPr>
                <w:lang w:val="en-GB"/>
              </w:rPr>
              <w:t>,</w:t>
            </w:r>
            <w:r w:rsidR="007C6C51" w:rsidRPr="00DB5DAE">
              <w:rPr>
                <w:b/>
                <w:bCs/>
                <w:lang w:val="en-GB"/>
              </w:rPr>
              <w:t xml:space="preserve"> </w:t>
            </w:r>
          </w:p>
          <w:p w14:paraId="608674E0" w14:textId="07A5C876" w:rsidR="00C12DEA" w:rsidRPr="00DB5DAE" w:rsidRDefault="00C12DEA" w:rsidP="009E7F06">
            <w:pPr>
              <w:pStyle w:val="Odstavecseseznamem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Theme="minorHAnsi" w:hAnsiTheme="minorHAnsi" w:cs="Arial"/>
                <w:lang w:val="en-GB"/>
              </w:rPr>
            </w:pPr>
            <w:r w:rsidRPr="00DB5DAE">
              <w:rPr>
                <w:rFonts w:asciiTheme="minorHAnsi" w:hAnsiTheme="minorHAnsi"/>
                <w:lang w:val="en-GB"/>
              </w:rPr>
              <w:t>s</w:t>
            </w:r>
            <w:r w:rsidR="00A715E5" w:rsidRPr="00DB5DAE">
              <w:rPr>
                <w:rFonts w:asciiTheme="minorHAnsi" w:hAnsiTheme="minorHAnsi"/>
                <w:lang w:val="en-GB"/>
              </w:rPr>
              <w:t>trength</w:t>
            </w:r>
            <w:r w:rsidR="00241CAB" w:rsidRPr="00DB5DAE">
              <w:rPr>
                <w:rFonts w:asciiTheme="minorHAnsi" w:hAnsiTheme="minorHAnsi"/>
                <w:lang w:val="en-GB"/>
              </w:rPr>
              <w:t>ening</w:t>
            </w:r>
            <w:r w:rsidR="00A715E5" w:rsidRPr="00DB5DAE">
              <w:rPr>
                <w:rFonts w:asciiTheme="minorHAnsi" w:hAnsiTheme="minorHAnsi" w:cs="Arial"/>
                <w:lang w:val="en-GB"/>
              </w:rPr>
              <w:t xml:space="preserve"> </w:t>
            </w:r>
            <w:r w:rsidR="00A715E5" w:rsidRPr="00DB5DAE">
              <w:rPr>
                <w:rFonts w:asciiTheme="minorHAnsi" w:hAnsiTheme="minorHAnsi"/>
                <w:lang w:val="en-GB"/>
              </w:rPr>
              <w:t xml:space="preserve">capacities </w:t>
            </w:r>
            <w:r w:rsidR="00A715E5" w:rsidRPr="00DB5DAE">
              <w:rPr>
                <w:rFonts w:asciiTheme="minorHAnsi" w:hAnsiTheme="minorHAnsi" w:cs="Arial"/>
                <w:lang w:val="en-GB"/>
              </w:rPr>
              <w:t xml:space="preserve">of </w:t>
            </w:r>
            <w:r w:rsidR="00392DC4" w:rsidRPr="00DB5DAE">
              <w:rPr>
                <w:rFonts w:asciiTheme="minorHAnsi" w:hAnsiTheme="minorHAnsi" w:cs="Arial"/>
                <w:lang w:val="en-GB"/>
              </w:rPr>
              <w:t>Serbian Ministry of Economy</w:t>
            </w:r>
            <w:r w:rsidR="00A715E5" w:rsidRPr="00DB5DAE">
              <w:rPr>
                <w:rFonts w:asciiTheme="minorHAnsi" w:hAnsiTheme="minorHAnsi" w:cs="Arial"/>
                <w:lang w:val="en-GB"/>
              </w:rPr>
              <w:t xml:space="preserve"> </w:t>
            </w:r>
            <w:r w:rsidR="00392DC4" w:rsidRPr="00DB5DAE">
              <w:rPr>
                <w:rFonts w:asciiTheme="minorHAnsi" w:hAnsiTheme="minorHAnsi" w:cs="Arial"/>
                <w:lang w:val="en-GB"/>
              </w:rPr>
              <w:t xml:space="preserve">and other relevant ministries as regards </w:t>
            </w:r>
            <w:r w:rsidR="00C70AE8" w:rsidRPr="00DB5DAE">
              <w:rPr>
                <w:rFonts w:asciiTheme="minorHAnsi" w:hAnsiTheme="minorHAnsi" w:cs="Arial"/>
                <w:lang w:val="en-GB"/>
              </w:rPr>
              <w:t>providing</w:t>
            </w:r>
            <w:r w:rsidR="00392DC4" w:rsidRPr="00DB5DAE">
              <w:rPr>
                <w:rFonts w:asciiTheme="minorHAnsi" w:hAnsiTheme="minorHAnsi" w:cs="Arial"/>
                <w:lang w:val="en-GB"/>
              </w:rPr>
              <w:t xml:space="preserve"> information </w:t>
            </w:r>
            <w:r w:rsidR="00AC46C4" w:rsidRPr="00DB5DAE">
              <w:rPr>
                <w:rFonts w:asciiTheme="minorHAnsi" w:hAnsiTheme="minorHAnsi" w:cs="Arial"/>
                <w:lang w:val="en-GB"/>
              </w:rPr>
              <w:t>on</w:t>
            </w:r>
            <w:r w:rsidR="00392DC4" w:rsidRPr="00DB5DAE">
              <w:rPr>
                <w:rFonts w:asciiTheme="minorHAnsi" w:hAnsiTheme="minorHAnsi" w:cs="Arial"/>
                <w:lang w:val="en-GB"/>
              </w:rPr>
              <w:t xml:space="preserve"> transpo</w:t>
            </w:r>
            <w:r w:rsidR="00AC46C4" w:rsidRPr="00DB5DAE">
              <w:rPr>
                <w:rFonts w:asciiTheme="minorHAnsi" w:hAnsiTheme="minorHAnsi" w:cs="Arial"/>
                <w:lang w:val="en-GB"/>
              </w:rPr>
              <w:t>s</w:t>
            </w:r>
            <w:r w:rsidR="00392DC4" w:rsidRPr="00DB5DAE">
              <w:rPr>
                <w:rFonts w:asciiTheme="minorHAnsi" w:hAnsiTheme="minorHAnsi" w:cs="Arial"/>
                <w:lang w:val="en-GB"/>
              </w:rPr>
              <w:t xml:space="preserve">ition of </w:t>
            </w:r>
            <w:r w:rsidR="00113CA4" w:rsidRPr="00DB5DAE">
              <w:rPr>
                <w:rFonts w:asciiTheme="minorHAnsi" w:hAnsiTheme="minorHAnsi" w:cs="Arial"/>
                <w:lang w:val="en-GB"/>
              </w:rPr>
              <w:t>European</w:t>
            </w:r>
            <w:r w:rsidR="00392DC4" w:rsidRPr="00DB5DAE">
              <w:rPr>
                <w:rFonts w:asciiTheme="minorHAnsi" w:hAnsiTheme="minorHAnsi" w:cs="Arial"/>
                <w:lang w:val="en-GB"/>
              </w:rPr>
              <w:t xml:space="preserve"> legislation and</w:t>
            </w:r>
            <w:r w:rsidR="00241CAB" w:rsidRPr="00DB5DAE">
              <w:rPr>
                <w:rFonts w:asciiTheme="minorHAnsi" w:hAnsiTheme="minorHAnsi" w:cs="Arial"/>
                <w:lang w:val="en-GB"/>
              </w:rPr>
              <w:t xml:space="preserve"> </w:t>
            </w:r>
            <w:r w:rsidR="00FE6646" w:rsidRPr="00DB5DAE">
              <w:rPr>
                <w:rFonts w:asciiTheme="minorHAnsi" w:hAnsiTheme="minorHAnsi" w:cs="Arial"/>
                <w:lang w:val="en-GB"/>
              </w:rPr>
              <w:t>related</w:t>
            </w:r>
            <w:r w:rsidR="00241CAB" w:rsidRPr="00DB5DAE">
              <w:rPr>
                <w:rFonts w:asciiTheme="minorHAnsi" w:hAnsiTheme="minorHAnsi" w:cs="Arial"/>
                <w:lang w:val="en-GB"/>
              </w:rPr>
              <w:t xml:space="preserve"> impacts</w:t>
            </w:r>
            <w:r w:rsidR="00FE6646" w:rsidRPr="00DB5DAE">
              <w:rPr>
                <w:rFonts w:asciiTheme="minorHAnsi" w:hAnsiTheme="minorHAnsi" w:cs="Arial"/>
                <w:lang w:val="en-GB"/>
              </w:rPr>
              <w:t>,</w:t>
            </w:r>
            <w:r w:rsidR="00AC46C4" w:rsidRPr="00DB5DAE">
              <w:rPr>
                <w:rFonts w:asciiTheme="minorHAnsi" w:hAnsiTheme="minorHAnsi" w:cs="Arial"/>
                <w:lang w:val="en-GB"/>
              </w:rPr>
              <w:t xml:space="preserve"> </w:t>
            </w:r>
            <w:r w:rsidR="00FE6646" w:rsidRPr="00DB5DAE">
              <w:rPr>
                <w:rFonts w:asciiTheme="minorHAnsi" w:hAnsiTheme="minorHAnsi" w:cs="Arial"/>
                <w:lang w:val="en-GB"/>
              </w:rPr>
              <w:t>i</w:t>
            </w:r>
            <w:r w:rsidR="00522EFA" w:rsidRPr="00DB5DAE">
              <w:rPr>
                <w:rFonts w:asciiTheme="minorHAnsi" w:hAnsiTheme="minorHAnsi" w:cs="Arial"/>
                <w:lang w:val="en-GB"/>
              </w:rPr>
              <w:t xml:space="preserve">ncluding </w:t>
            </w:r>
            <w:r w:rsidR="00AC46C4" w:rsidRPr="00DB5DAE">
              <w:rPr>
                <w:rFonts w:asciiTheme="minorHAnsi" w:hAnsiTheme="minorHAnsi" w:cs="Arial"/>
                <w:lang w:val="en-GB"/>
              </w:rPr>
              <w:t xml:space="preserve">creation of </w:t>
            </w:r>
            <w:r w:rsidR="00522EFA" w:rsidRPr="00DB5DAE">
              <w:rPr>
                <w:rFonts w:asciiTheme="minorHAnsi" w:hAnsiTheme="minorHAnsi" w:cs="Arial"/>
                <w:lang w:val="en-GB"/>
              </w:rPr>
              <w:t>Product Contact Points</w:t>
            </w:r>
            <w:r w:rsidR="00AC46C4" w:rsidRPr="00DB5DAE">
              <w:rPr>
                <w:rFonts w:asciiTheme="minorHAnsi" w:hAnsiTheme="minorHAnsi" w:cs="Arial"/>
                <w:lang w:val="en-GB"/>
              </w:rPr>
              <w:t xml:space="preserve"> network,</w:t>
            </w:r>
            <w:r w:rsidR="00522EFA" w:rsidRPr="00DB5DAE">
              <w:rPr>
                <w:rFonts w:asciiTheme="minorHAnsi" w:hAnsiTheme="minorHAnsi" w:cs="Arial"/>
                <w:lang w:val="en-GB"/>
              </w:rPr>
              <w:t xml:space="preserve"> </w:t>
            </w:r>
          </w:p>
          <w:p w14:paraId="213E956F" w14:textId="64D648F6" w:rsidR="00E445A2" w:rsidRPr="00C12DEA" w:rsidRDefault="00C12DEA" w:rsidP="009E7F06">
            <w:pPr>
              <w:pStyle w:val="Odstavecseseznamem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Theme="minorHAnsi" w:hAnsiTheme="minorHAnsi" w:cs="Arial"/>
                <w:lang w:val="en-GB"/>
              </w:rPr>
            </w:pPr>
            <w:r w:rsidRPr="00DB5DAE">
              <w:rPr>
                <w:rFonts w:asciiTheme="minorHAnsi" w:hAnsiTheme="minorHAnsi" w:cs="Arial"/>
                <w:lang w:val="en-GB"/>
              </w:rPr>
              <w:t>a</w:t>
            </w:r>
            <w:r w:rsidR="006B2958" w:rsidRPr="00DB5DAE">
              <w:rPr>
                <w:rFonts w:asciiTheme="minorHAnsi" w:hAnsiTheme="minorHAnsi" w:cs="Arial"/>
                <w:lang w:val="en-GB"/>
              </w:rPr>
              <w:t xml:space="preserve">ssuring </w:t>
            </w:r>
            <w:r w:rsidR="00EA450E" w:rsidRPr="00DB5DAE">
              <w:rPr>
                <w:rFonts w:asciiTheme="minorHAnsi" w:hAnsiTheme="minorHAnsi" w:cs="Arial"/>
                <w:lang w:val="en-GB"/>
              </w:rPr>
              <w:t xml:space="preserve">relevant implementation of </w:t>
            </w:r>
            <w:r w:rsidR="00AC46C4" w:rsidRPr="00DB5DAE">
              <w:rPr>
                <w:rFonts w:asciiTheme="minorHAnsi" w:hAnsiTheme="minorHAnsi" w:cs="Arial"/>
                <w:lang w:val="en-GB"/>
              </w:rPr>
              <w:t>¨m</w:t>
            </w:r>
            <w:r w:rsidR="00EA450E" w:rsidRPr="00DB5DAE">
              <w:rPr>
                <w:rFonts w:asciiTheme="minorHAnsi" w:hAnsiTheme="minorHAnsi" w:cs="Arial"/>
                <w:lang w:val="en-GB"/>
              </w:rPr>
              <w:t xml:space="preserve">etrology legislation </w:t>
            </w:r>
            <w:r w:rsidR="007C6C51" w:rsidRPr="00DB5DAE">
              <w:rPr>
                <w:lang w:val="en-GB"/>
              </w:rPr>
              <w:t xml:space="preserve">in </w:t>
            </w:r>
            <w:r w:rsidR="00113CA4" w:rsidRPr="00DB5DAE">
              <w:rPr>
                <w:lang w:val="en-GB"/>
              </w:rPr>
              <w:t xml:space="preserve">the field </w:t>
            </w:r>
            <w:r w:rsidR="00EA450E" w:rsidRPr="00DB5DAE">
              <w:rPr>
                <w:lang w:val="en-GB"/>
              </w:rPr>
              <w:t xml:space="preserve">of measuring instruments, non-automatic weighing instruments and pre-packaged products, including </w:t>
            </w:r>
            <w:r w:rsidR="008E71FF" w:rsidRPr="00DB5DAE">
              <w:rPr>
                <w:lang w:val="en-GB"/>
              </w:rPr>
              <w:t>assuring</w:t>
            </w:r>
            <w:r w:rsidR="008E71FF" w:rsidRPr="00C12DEA">
              <w:rPr>
                <w:rFonts w:asciiTheme="minorHAnsi" w:hAnsiTheme="minorHAnsi" w:cs="Arial"/>
                <w:lang w:val="en-GB"/>
              </w:rPr>
              <w:t xml:space="preserve"> </w:t>
            </w:r>
            <w:r w:rsidR="00A715E5" w:rsidRPr="00C12DEA">
              <w:rPr>
                <w:rFonts w:asciiTheme="minorHAnsi" w:hAnsiTheme="minorHAnsi" w:cs="Arial"/>
                <w:lang w:val="en-GB"/>
              </w:rPr>
              <w:t>ac</w:t>
            </w:r>
            <w:r w:rsidR="00113CA4">
              <w:rPr>
                <w:rFonts w:asciiTheme="minorHAnsi" w:hAnsiTheme="minorHAnsi" w:cs="Arial"/>
                <w:lang w:val="en-GB"/>
              </w:rPr>
              <w:t>c</w:t>
            </w:r>
            <w:r w:rsidR="00A715E5" w:rsidRPr="00C12DEA">
              <w:rPr>
                <w:rFonts w:asciiTheme="minorHAnsi" w:hAnsiTheme="minorHAnsi" w:cs="Arial"/>
                <w:lang w:val="en-GB"/>
              </w:rPr>
              <w:t>reditation</w:t>
            </w:r>
            <w:r w:rsidR="00EA450E" w:rsidRPr="00C12DEA">
              <w:rPr>
                <w:rFonts w:asciiTheme="minorHAnsi" w:hAnsiTheme="minorHAnsi" w:cs="Arial"/>
                <w:lang w:val="en-GB"/>
              </w:rPr>
              <w:t xml:space="preserve"> and notification of </w:t>
            </w:r>
            <w:r w:rsidR="00A715E5" w:rsidRPr="00C12DEA">
              <w:rPr>
                <w:rFonts w:asciiTheme="minorHAnsi" w:hAnsiTheme="minorHAnsi" w:cs="Arial"/>
                <w:lang w:val="en-GB"/>
              </w:rPr>
              <w:t xml:space="preserve">conformity assessment </w:t>
            </w:r>
            <w:r w:rsidR="00EA450E" w:rsidRPr="00C12DEA">
              <w:rPr>
                <w:rFonts w:asciiTheme="minorHAnsi" w:hAnsiTheme="minorHAnsi" w:cs="Arial"/>
                <w:lang w:val="en-GB"/>
              </w:rPr>
              <w:t>bodies</w:t>
            </w:r>
            <w:r w:rsidR="00A715E5" w:rsidRPr="00C12DEA">
              <w:rPr>
                <w:rFonts w:asciiTheme="minorHAnsi" w:hAnsiTheme="minorHAnsi" w:cs="Arial"/>
                <w:lang w:val="en-GB"/>
              </w:rPr>
              <w:t xml:space="preserve"> according </w:t>
            </w:r>
            <w:r w:rsidR="008E71FF" w:rsidRPr="00C12DEA">
              <w:rPr>
                <w:rFonts w:asciiTheme="minorHAnsi" w:hAnsiTheme="minorHAnsi" w:cs="Arial"/>
                <w:lang w:val="en-GB"/>
              </w:rPr>
              <w:t xml:space="preserve">to </w:t>
            </w:r>
            <w:r w:rsidR="00113CA4">
              <w:rPr>
                <w:rFonts w:asciiTheme="minorHAnsi" w:hAnsiTheme="minorHAnsi" w:cs="Arial"/>
                <w:lang w:val="en-GB"/>
              </w:rPr>
              <w:t>European</w:t>
            </w:r>
            <w:r w:rsidR="00113CA4" w:rsidRPr="00C12DEA">
              <w:rPr>
                <w:rFonts w:asciiTheme="minorHAnsi" w:hAnsiTheme="minorHAnsi" w:cs="Arial"/>
                <w:lang w:val="en-GB"/>
              </w:rPr>
              <w:t xml:space="preserve"> </w:t>
            </w:r>
            <w:r w:rsidR="00A715E5" w:rsidRPr="00C12DEA">
              <w:rPr>
                <w:rFonts w:asciiTheme="minorHAnsi" w:hAnsiTheme="minorHAnsi" w:cs="Arial"/>
                <w:lang w:val="en-GB"/>
              </w:rPr>
              <w:t>and interna</w:t>
            </w:r>
            <w:r w:rsidR="003E678E">
              <w:rPr>
                <w:rFonts w:asciiTheme="minorHAnsi" w:hAnsiTheme="minorHAnsi" w:cs="Arial"/>
                <w:lang w:val="en-GB"/>
              </w:rPr>
              <w:t>tional standards and principles,</w:t>
            </w:r>
            <w:r w:rsidR="00A715E5" w:rsidRPr="00C12DEA">
              <w:rPr>
                <w:rFonts w:asciiTheme="minorHAnsi" w:hAnsiTheme="minorHAnsi" w:cs="Arial"/>
                <w:lang w:val="en-GB"/>
              </w:rPr>
              <w:t xml:space="preserve"> </w:t>
            </w:r>
          </w:p>
          <w:p w14:paraId="78F797EA" w14:textId="12546B69" w:rsidR="009E7F06" w:rsidRPr="00C12DEA" w:rsidRDefault="00C12DEA" w:rsidP="00113CA4">
            <w:pPr>
              <w:pStyle w:val="Odstavecseseznamem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Theme="minorHAnsi" w:hAnsiTheme="minorHAnsi" w:cs="Arial"/>
                <w:lang w:val="en-GB"/>
              </w:rPr>
            </w:pPr>
            <w:r w:rsidRPr="00C12DEA">
              <w:rPr>
                <w:rFonts w:asciiTheme="minorHAnsi" w:eastAsia="Times New Roman" w:hAnsiTheme="minorHAnsi" w:cs="Arial"/>
                <w:lang w:val="en-GB" w:eastAsia="en-GB"/>
              </w:rPr>
              <w:t>i</w:t>
            </w:r>
            <w:r w:rsidR="00A715E5" w:rsidRPr="00C12DEA">
              <w:rPr>
                <w:rFonts w:asciiTheme="minorHAnsi" w:eastAsia="Times New Roman" w:hAnsiTheme="minorHAnsi" w:cs="Arial"/>
                <w:lang w:val="en-GB" w:eastAsia="en-GB"/>
              </w:rPr>
              <w:t>ncreasing</w:t>
            </w:r>
            <w:r w:rsidR="009B544B" w:rsidRPr="00C12DEA">
              <w:rPr>
                <w:rFonts w:asciiTheme="minorHAnsi" w:eastAsia="Times New Roman" w:hAnsiTheme="minorHAnsi" w:cs="Arial"/>
                <w:lang w:val="en-GB" w:eastAsia="en-GB"/>
              </w:rPr>
              <w:t xml:space="preserve"> awareness of profes</w:t>
            </w:r>
            <w:r w:rsidR="00113CA4">
              <w:rPr>
                <w:rFonts w:asciiTheme="minorHAnsi" w:eastAsia="Times New Roman" w:hAnsiTheme="minorHAnsi" w:cs="Arial"/>
                <w:lang w:val="en-GB" w:eastAsia="en-GB"/>
              </w:rPr>
              <w:t>s</w:t>
            </w:r>
            <w:r w:rsidR="009B544B" w:rsidRPr="00C12DEA">
              <w:rPr>
                <w:rFonts w:asciiTheme="minorHAnsi" w:eastAsia="Times New Roman" w:hAnsiTheme="minorHAnsi" w:cs="Arial"/>
                <w:lang w:val="en-GB" w:eastAsia="en-GB"/>
              </w:rPr>
              <w:t xml:space="preserve">ional and general public about technical harmonization by </w:t>
            </w:r>
            <w:r w:rsidR="00EA450E" w:rsidRPr="00C12DEA">
              <w:rPr>
                <w:rFonts w:asciiTheme="minorHAnsi" w:eastAsia="Times New Roman" w:hAnsiTheme="minorHAnsi" w:cs="Arial"/>
                <w:lang w:val="en-GB" w:eastAsia="en-GB"/>
              </w:rPr>
              <w:t xml:space="preserve">TV </w:t>
            </w:r>
            <w:r w:rsidR="008E71FF" w:rsidRPr="00C12DEA">
              <w:rPr>
                <w:rFonts w:asciiTheme="minorHAnsi" w:eastAsia="Times New Roman" w:hAnsiTheme="minorHAnsi" w:cs="Arial"/>
                <w:lang w:val="en-GB" w:eastAsia="en-GB"/>
              </w:rPr>
              <w:t>campaign</w:t>
            </w:r>
            <w:r w:rsidR="00EA450E" w:rsidRPr="00C12DEA">
              <w:rPr>
                <w:rFonts w:asciiTheme="minorHAnsi" w:eastAsia="Times New Roman" w:hAnsiTheme="minorHAnsi" w:cs="Arial"/>
                <w:lang w:val="en-GB" w:eastAsia="en-GB"/>
              </w:rPr>
              <w:t xml:space="preserve">, information meetings, roundtables, etc. </w:t>
            </w:r>
          </w:p>
        </w:tc>
      </w:tr>
    </w:tbl>
    <w:p w14:paraId="0C5C0082" w14:textId="77777777" w:rsidR="00B45986" w:rsidRPr="00AA35A3" w:rsidRDefault="00B45986" w:rsidP="00241CAB">
      <w:pPr>
        <w:tabs>
          <w:tab w:val="left" w:pos="3469"/>
        </w:tabs>
      </w:pPr>
    </w:p>
    <w:sectPr w:rsidR="00B45986" w:rsidRPr="00AA35A3" w:rsidSect="008E4717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BE4F8" w14:textId="77777777" w:rsidR="00C41AEB" w:rsidRDefault="00C41AEB" w:rsidP="009A7EE8">
      <w:pPr>
        <w:spacing w:after="0"/>
      </w:pPr>
      <w:r>
        <w:separator/>
      </w:r>
    </w:p>
  </w:endnote>
  <w:endnote w:type="continuationSeparator" w:id="0">
    <w:p w14:paraId="433C2D76" w14:textId="77777777" w:rsidR="00C41AEB" w:rsidRDefault="00C41AEB" w:rsidP="009A7E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A970C" w14:textId="77777777" w:rsidR="00C41AEB" w:rsidRDefault="00C41AEB" w:rsidP="009A7EE8">
      <w:pPr>
        <w:spacing w:after="0"/>
      </w:pPr>
      <w:r>
        <w:separator/>
      </w:r>
    </w:p>
  </w:footnote>
  <w:footnote w:type="continuationSeparator" w:id="0">
    <w:p w14:paraId="2E4A61BE" w14:textId="77777777" w:rsidR="00C41AEB" w:rsidRDefault="00C41AEB" w:rsidP="009A7E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7278"/>
    <w:multiLevelType w:val="hybridMultilevel"/>
    <w:tmpl w:val="6204AB8A"/>
    <w:lvl w:ilvl="0" w:tplc="8B2ED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576D"/>
    <w:multiLevelType w:val="hybridMultilevel"/>
    <w:tmpl w:val="0F663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4F5E"/>
    <w:multiLevelType w:val="hybridMultilevel"/>
    <w:tmpl w:val="1CF097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B418C"/>
    <w:multiLevelType w:val="hybridMultilevel"/>
    <w:tmpl w:val="9B907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E6F"/>
    <w:multiLevelType w:val="hybridMultilevel"/>
    <w:tmpl w:val="5980D772"/>
    <w:lvl w:ilvl="0" w:tplc="D9EC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D08CC"/>
    <w:multiLevelType w:val="hybridMultilevel"/>
    <w:tmpl w:val="5C76A1FA"/>
    <w:lvl w:ilvl="0" w:tplc="6C94C8E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B7CDA"/>
    <w:multiLevelType w:val="hybridMultilevel"/>
    <w:tmpl w:val="3EA23BB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12A3D"/>
    <w:multiLevelType w:val="hybridMultilevel"/>
    <w:tmpl w:val="62642C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30C64"/>
    <w:multiLevelType w:val="hybridMultilevel"/>
    <w:tmpl w:val="233AC7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5004C"/>
    <w:multiLevelType w:val="hybridMultilevel"/>
    <w:tmpl w:val="102A6EDA"/>
    <w:lvl w:ilvl="0" w:tplc="8B2ED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56374"/>
    <w:multiLevelType w:val="hybridMultilevel"/>
    <w:tmpl w:val="76DE929C"/>
    <w:lvl w:ilvl="0" w:tplc="835E3C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F494E"/>
    <w:multiLevelType w:val="hybridMultilevel"/>
    <w:tmpl w:val="BD70F5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07307"/>
    <w:multiLevelType w:val="hybridMultilevel"/>
    <w:tmpl w:val="40566DF2"/>
    <w:lvl w:ilvl="0" w:tplc="FF52A77C">
      <w:start w:val="1"/>
      <w:numFmt w:val="bullet"/>
      <w:pStyle w:val="HDbulletlis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0D6246"/>
    <w:multiLevelType w:val="hybridMultilevel"/>
    <w:tmpl w:val="AB263B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8436C"/>
    <w:multiLevelType w:val="hybridMultilevel"/>
    <w:tmpl w:val="3CE44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77C4C"/>
    <w:multiLevelType w:val="hybridMultilevel"/>
    <w:tmpl w:val="C096F650"/>
    <w:lvl w:ilvl="0" w:tplc="662AC47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34776"/>
    <w:multiLevelType w:val="hybridMultilevel"/>
    <w:tmpl w:val="7C24E8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14"/>
  </w:num>
  <w:num w:numId="10">
    <w:abstractNumId w:val="6"/>
  </w:num>
  <w:num w:numId="11">
    <w:abstractNumId w:val="4"/>
  </w:num>
  <w:num w:numId="12">
    <w:abstractNumId w:val="5"/>
  </w:num>
  <w:num w:numId="13">
    <w:abstractNumId w:val="13"/>
  </w:num>
  <w:num w:numId="14">
    <w:abstractNumId w:val="0"/>
  </w:num>
  <w:num w:numId="15">
    <w:abstractNumId w:val="9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17"/>
    <w:rsid w:val="00007EE4"/>
    <w:rsid w:val="00011957"/>
    <w:rsid w:val="00020314"/>
    <w:rsid w:val="00021CDB"/>
    <w:rsid w:val="0003576D"/>
    <w:rsid w:val="00045D67"/>
    <w:rsid w:val="00047DE8"/>
    <w:rsid w:val="000521F8"/>
    <w:rsid w:val="00054F25"/>
    <w:rsid w:val="00055A7A"/>
    <w:rsid w:val="000625E0"/>
    <w:rsid w:val="000C7216"/>
    <w:rsid w:val="000D4063"/>
    <w:rsid w:val="000E05F5"/>
    <w:rsid w:val="000E4A9D"/>
    <w:rsid w:val="0010499F"/>
    <w:rsid w:val="00105E63"/>
    <w:rsid w:val="00111A74"/>
    <w:rsid w:val="00111E48"/>
    <w:rsid w:val="00113CA4"/>
    <w:rsid w:val="00135A23"/>
    <w:rsid w:val="0014433C"/>
    <w:rsid w:val="00161D07"/>
    <w:rsid w:val="00171E79"/>
    <w:rsid w:val="0017789B"/>
    <w:rsid w:val="0018680A"/>
    <w:rsid w:val="0018754E"/>
    <w:rsid w:val="00190C8D"/>
    <w:rsid w:val="001B0392"/>
    <w:rsid w:val="001B377D"/>
    <w:rsid w:val="001C533C"/>
    <w:rsid w:val="001D1654"/>
    <w:rsid w:val="001D1EDB"/>
    <w:rsid w:val="001E7CFE"/>
    <w:rsid w:val="001F7407"/>
    <w:rsid w:val="00205387"/>
    <w:rsid w:val="002160D7"/>
    <w:rsid w:val="00223D5C"/>
    <w:rsid w:val="00241CAB"/>
    <w:rsid w:val="00254026"/>
    <w:rsid w:val="00260DBD"/>
    <w:rsid w:val="002801E7"/>
    <w:rsid w:val="002812D1"/>
    <w:rsid w:val="00282F28"/>
    <w:rsid w:val="00292371"/>
    <w:rsid w:val="002A5880"/>
    <w:rsid w:val="0031316B"/>
    <w:rsid w:val="00317354"/>
    <w:rsid w:val="003254EE"/>
    <w:rsid w:val="00346811"/>
    <w:rsid w:val="003646BB"/>
    <w:rsid w:val="0037412C"/>
    <w:rsid w:val="00376F76"/>
    <w:rsid w:val="00392DC4"/>
    <w:rsid w:val="0039302D"/>
    <w:rsid w:val="003960D1"/>
    <w:rsid w:val="003A1563"/>
    <w:rsid w:val="003B61ED"/>
    <w:rsid w:val="003B6753"/>
    <w:rsid w:val="003B7CE2"/>
    <w:rsid w:val="003D08F1"/>
    <w:rsid w:val="003D1867"/>
    <w:rsid w:val="003D24FC"/>
    <w:rsid w:val="003D5A09"/>
    <w:rsid w:val="003D7954"/>
    <w:rsid w:val="003E10DD"/>
    <w:rsid w:val="003E27C2"/>
    <w:rsid w:val="003E58F9"/>
    <w:rsid w:val="003E678E"/>
    <w:rsid w:val="00401EE7"/>
    <w:rsid w:val="00406501"/>
    <w:rsid w:val="004159FA"/>
    <w:rsid w:val="00415EA1"/>
    <w:rsid w:val="0041719C"/>
    <w:rsid w:val="00421890"/>
    <w:rsid w:val="00425516"/>
    <w:rsid w:val="004256E4"/>
    <w:rsid w:val="004259F5"/>
    <w:rsid w:val="00431F7A"/>
    <w:rsid w:val="00453FDC"/>
    <w:rsid w:val="004675C3"/>
    <w:rsid w:val="00470412"/>
    <w:rsid w:val="00485B2A"/>
    <w:rsid w:val="0049256A"/>
    <w:rsid w:val="004A62A0"/>
    <w:rsid w:val="004B177B"/>
    <w:rsid w:val="004B30D0"/>
    <w:rsid w:val="004B6245"/>
    <w:rsid w:val="004C15FB"/>
    <w:rsid w:val="004C4AB8"/>
    <w:rsid w:val="004C5D23"/>
    <w:rsid w:val="004D3596"/>
    <w:rsid w:val="004E5A7B"/>
    <w:rsid w:val="0051095C"/>
    <w:rsid w:val="00515B3E"/>
    <w:rsid w:val="00522EFA"/>
    <w:rsid w:val="00533E12"/>
    <w:rsid w:val="00565799"/>
    <w:rsid w:val="005828D7"/>
    <w:rsid w:val="00595D64"/>
    <w:rsid w:val="005A1B90"/>
    <w:rsid w:val="005A3A7D"/>
    <w:rsid w:val="005A6B1F"/>
    <w:rsid w:val="005B7C2E"/>
    <w:rsid w:val="005C15AD"/>
    <w:rsid w:val="005C32C7"/>
    <w:rsid w:val="005C5929"/>
    <w:rsid w:val="005D4C4C"/>
    <w:rsid w:val="005E39C7"/>
    <w:rsid w:val="005E580A"/>
    <w:rsid w:val="005F2469"/>
    <w:rsid w:val="005F69BD"/>
    <w:rsid w:val="00617709"/>
    <w:rsid w:val="00621181"/>
    <w:rsid w:val="00641C1D"/>
    <w:rsid w:val="00643D35"/>
    <w:rsid w:val="006567E1"/>
    <w:rsid w:val="006633D7"/>
    <w:rsid w:val="00664022"/>
    <w:rsid w:val="00670CE1"/>
    <w:rsid w:val="00694CEA"/>
    <w:rsid w:val="00694E67"/>
    <w:rsid w:val="006A29D2"/>
    <w:rsid w:val="006B2712"/>
    <w:rsid w:val="006B2958"/>
    <w:rsid w:val="006B6BF1"/>
    <w:rsid w:val="006C3F32"/>
    <w:rsid w:val="006D402D"/>
    <w:rsid w:val="006F0FBE"/>
    <w:rsid w:val="00724E7A"/>
    <w:rsid w:val="007438B7"/>
    <w:rsid w:val="00747EEC"/>
    <w:rsid w:val="00751CD8"/>
    <w:rsid w:val="00753349"/>
    <w:rsid w:val="00753454"/>
    <w:rsid w:val="00756526"/>
    <w:rsid w:val="00772CEE"/>
    <w:rsid w:val="00784B2A"/>
    <w:rsid w:val="00786FEB"/>
    <w:rsid w:val="00792FFE"/>
    <w:rsid w:val="00797DE9"/>
    <w:rsid w:val="007B2040"/>
    <w:rsid w:val="007B72CF"/>
    <w:rsid w:val="007C1A31"/>
    <w:rsid w:val="007C57C4"/>
    <w:rsid w:val="007C6C51"/>
    <w:rsid w:val="007F276D"/>
    <w:rsid w:val="007F517B"/>
    <w:rsid w:val="00823956"/>
    <w:rsid w:val="00825AC8"/>
    <w:rsid w:val="008278CE"/>
    <w:rsid w:val="00831929"/>
    <w:rsid w:val="0083783F"/>
    <w:rsid w:val="008560E3"/>
    <w:rsid w:val="00876215"/>
    <w:rsid w:val="00887320"/>
    <w:rsid w:val="00891D51"/>
    <w:rsid w:val="008948E3"/>
    <w:rsid w:val="008A0042"/>
    <w:rsid w:val="008A3980"/>
    <w:rsid w:val="008A5852"/>
    <w:rsid w:val="008A58BE"/>
    <w:rsid w:val="008B10FE"/>
    <w:rsid w:val="008C7881"/>
    <w:rsid w:val="008D4FDE"/>
    <w:rsid w:val="008E39A5"/>
    <w:rsid w:val="008E4717"/>
    <w:rsid w:val="008E6934"/>
    <w:rsid w:val="008E71FF"/>
    <w:rsid w:val="008F79DD"/>
    <w:rsid w:val="00902310"/>
    <w:rsid w:val="0090353B"/>
    <w:rsid w:val="00911ED6"/>
    <w:rsid w:val="00921E50"/>
    <w:rsid w:val="0092420A"/>
    <w:rsid w:val="00924505"/>
    <w:rsid w:val="009274BE"/>
    <w:rsid w:val="0093159B"/>
    <w:rsid w:val="00960DD1"/>
    <w:rsid w:val="00976994"/>
    <w:rsid w:val="0098580D"/>
    <w:rsid w:val="00991C93"/>
    <w:rsid w:val="009A6631"/>
    <w:rsid w:val="009A7EE8"/>
    <w:rsid w:val="009B18C1"/>
    <w:rsid w:val="009B544B"/>
    <w:rsid w:val="009C50C8"/>
    <w:rsid w:val="009D0B26"/>
    <w:rsid w:val="009D6FD0"/>
    <w:rsid w:val="009E7F06"/>
    <w:rsid w:val="00A0451E"/>
    <w:rsid w:val="00A1075F"/>
    <w:rsid w:val="00A15ECA"/>
    <w:rsid w:val="00A22A08"/>
    <w:rsid w:val="00A43122"/>
    <w:rsid w:val="00A55C52"/>
    <w:rsid w:val="00A711F0"/>
    <w:rsid w:val="00A715E5"/>
    <w:rsid w:val="00A73655"/>
    <w:rsid w:val="00A86064"/>
    <w:rsid w:val="00A90571"/>
    <w:rsid w:val="00A90A4D"/>
    <w:rsid w:val="00AA35A3"/>
    <w:rsid w:val="00AA597F"/>
    <w:rsid w:val="00AC02E0"/>
    <w:rsid w:val="00AC46C4"/>
    <w:rsid w:val="00AC639B"/>
    <w:rsid w:val="00AC682E"/>
    <w:rsid w:val="00AD51AF"/>
    <w:rsid w:val="00AE0496"/>
    <w:rsid w:val="00AE4365"/>
    <w:rsid w:val="00AF26E1"/>
    <w:rsid w:val="00B00900"/>
    <w:rsid w:val="00B02779"/>
    <w:rsid w:val="00B07D94"/>
    <w:rsid w:val="00B23DE2"/>
    <w:rsid w:val="00B25215"/>
    <w:rsid w:val="00B32FC3"/>
    <w:rsid w:val="00B45986"/>
    <w:rsid w:val="00B51270"/>
    <w:rsid w:val="00B52F41"/>
    <w:rsid w:val="00B8585C"/>
    <w:rsid w:val="00B92FE2"/>
    <w:rsid w:val="00B96308"/>
    <w:rsid w:val="00BA7C05"/>
    <w:rsid w:val="00BB2DEF"/>
    <w:rsid w:val="00BC05D8"/>
    <w:rsid w:val="00BC75F3"/>
    <w:rsid w:val="00BF11D4"/>
    <w:rsid w:val="00C0278A"/>
    <w:rsid w:val="00C0456B"/>
    <w:rsid w:val="00C05195"/>
    <w:rsid w:val="00C12DEA"/>
    <w:rsid w:val="00C16616"/>
    <w:rsid w:val="00C170F2"/>
    <w:rsid w:val="00C24348"/>
    <w:rsid w:val="00C3560B"/>
    <w:rsid w:val="00C4001A"/>
    <w:rsid w:val="00C41AEB"/>
    <w:rsid w:val="00C5469F"/>
    <w:rsid w:val="00C64658"/>
    <w:rsid w:val="00C70AE8"/>
    <w:rsid w:val="00C77A89"/>
    <w:rsid w:val="00C8647B"/>
    <w:rsid w:val="00C8751D"/>
    <w:rsid w:val="00CA0B77"/>
    <w:rsid w:val="00CA1B46"/>
    <w:rsid w:val="00CA2C83"/>
    <w:rsid w:val="00CB6DFC"/>
    <w:rsid w:val="00CC1001"/>
    <w:rsid w:val="00CC45B0"/>
    <w:rsid w:val="00CC55C3"/>
    <w:rsid w:val="00CC5FBD"/>
    <w:rsid w:val="00CD2B4C"/>
    <w:rsid w:val="00CF28EC"/>
    <w:rsid w:val="00CF4C37"/>
    <w:rsid w:val="00D0268A"/>
    <w:rsid w:val="00D04C31"/>
    <w:rsid w:val="00D10AB9"/>
    <w:rsid w:val="00D1495B"/>
    <w:rsid w:val="00D204A1"/>
    <w:rsid w:val="00D27815"/>
    <w:rsid w:val="00D36A1A"/>
    <w:rsid w:val="00D414EA"/>
    <w:rsid w:val="00D415FF"/>
    <w:rsid w:val="00D50E13"/>
    <w:rsid w:val="00D50E21"/>
    <w:rsid w:val="00D74EE3"/>
    <w:rsid w:val="00D81BD9"/>
    <w:rsid w:val="00D85471"/>
    <w:rsid w:val="00D877EF"/>
    <w:rsid w:val="00D93F7E"/>
    <w:rsid w:val="00DA3358"/>
    <w:rsid w:val="00DA5A11"/>
    <w:rsid w:val="00DB5DAE"/>
    <w:rsid w:val="00DD571A"/>
    <w:rsid w:val="00DE1686"/>
    <w:rsid w:val="00DE279A"/>
    <w:rsid w:val="00DE7993"/>
    <w:rsid w:val="00DF24E7"/>
    <w:rsid w:val="00DF2FF7"/>
    <w:rsid w:val="00E01305"/>
    <w:rsid w:val="00E300E8"/>
    <w:rsid w:val="00E445A2"/>
    <w:rsid w:val="00E50980"/>
    <w:rsid w:val="00E7051C"/>
    <w:rsid w:val="00E94708"/>
    <w:rsid w:val="00E958B0"/>
    <w:rsid w:val="00EA450E"/>
    <w:rsid w:val="00EA623E"/>
    <w:rsid w:val="00EE59B4"/>
    <w:rsid w:val="00EE6C42"/>
    <w:rsid w:val="00EE77BD"/>
    <w:rsid w:val="00EF5701"/>
    <w:rsid w:val="00EF66D8"/>
    <w:rsid w:val="00F03D81"/>
    <w:rsid w:val="00F15D70"/>
    <w:rsid w:val="00F26041"/>
    <w:rsid w:val="00F274BA"/>
    <w:rsid w:val="00F304DF"/>
    <w:rsid w:val="00F32987"/>
    <w:rsid w:val="00F35AF6"/>
    <w:rsid w:val="00F424BA"/>
    <w:rsid w:val="00F47252"/>
    <w:rsid w:val="00F563C5"/>
    <w:rsid w:val="00F621F9"/>
    <w:rsid w:val="00F65AB5"/>
    <w:rsid w:val="00F7221A"/>
    <w:rsid w:val="00F75375"/>
    <w:rsid w:val="00F85C81"/>
    <w:rsid w:val="00F8653F"/>
    <w:rsid w:val="00F87C16"/>
    <w:rsid w:val="00F94B58"/>
    <w:rsid w:val="00FA0ADD"/>
    <w:rsid w:val="00FA21A4"/>
    <w:rsid w:val="00FB68F5"/>
    <w:rsid w:val="00FC0DC1"/>
    <w:rsid w:val="00FC15FC"/>
    <w:rsid w:val="00FD0063"/>
    <w:rsid w:val="00FD3CE3"/>
    <w:rsid w:val="00FE2647"/>
    <w:rsid w:val="00FE6646"/>
    <w:rsid w:val="00FF1785"/>
    <w:rsid w:val="00FF35DD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EC8C"/>
  <w15:docId w15:val="{3EE18298-7946-4722-BB70-44FDBDC3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717"/>
    <w:pPr>
      <w:spacing w:after="240"/>
    </w:pPr>
    <w:rPr>
      <w:rFonts w:ascii="Arial" w:eastAsia="Times New Roman" w:hAnsi="Arial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8E47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7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nnexetitle">
    <w:name w:val="Annexe_title"/>
    <w:basedOn w:val="Nadpis1"/>
    <w:next w:val="Normln"/>
    <w:autoRedefine/>
    <w:rsid w:val="007B72CF"/>
    <w:pPr>
      <w:keepNext w:val="0"/>
      <w:keepLines w:val="0"/>
      <w:pageBreakBefore/>
      <w:tabs>
        <w:tab w:val="left" w:pos="1701"/>
        <w:tab w:val="left" w:pos="2552"/>
      </w:tabs>
      <w:spacing w:before="0"/>
      <w:jc w:val="center"/>
      <w:outlineLvl w:val="9"/>
    </w:pPr>
    <w:rPr>
      <w:rFonts w:asciiTheme="minorHAnsi" w:hAnsiTheme="minorHAnsi"/>
      <w:bCs w:val="0"/>
      <w:caps/>
      <w:noProof/>
      <w:color w:val="auto"/>
      <w:sz w:val="22"/>
      <w:szCs w:val="22"/>
    </w:rPr>
  </w:style>
  <w:style w:type="character" w:customStyle="1" w:styleId="Nadpis1Char">
    <w:name w:val="Nadpis 1 Char"/>
    <w:link w:val="Nadpis1"/>
    <w:uiPriority w:val="9"/>
    <w:rsid w:val="008E4717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7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471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extvysvtlivek">
    <w:name w:val="endnote text"/>
    <w:basedOn w:val="Normln"/>
    <w:link w:val="TextvysvtlivekChar"/>
    <w:semiHidden/>
    <w:rsid w:val="009A7EE8"/>
  </w:style>
  <w:style w:type="character" w:customStyle="1" w:styleId="TextvysvtlivekChar">
    <w:name w:val="Text vysvětlivek Char"/>
    <w:link w:val="Textvysvtlivek"/>
    <w:semiHidden/>
    <w:rsid w:val="009A7EE8"/>
    <w:rPr>
      <w:rFonts w:ascii="Arial" w:eastAsia="Times New Roman" w:hAnsi="Arial"/>
      <w:lang w:val="en-GB" w:eastAsia="en-GB"/>
    </w:rPr>
  </w:style>
  <w:style w:type="character" w:styleId="Odkaznavysvtlivky">
    <w:name w:val="endnote reference"/>
    <w:semiHidden/>
    <w:rsid w:val="009A7EE8"/>
    <w:rPr>
      <w:vertAlign w:val="superscript"/>
    </w:rPr>
  </w:style>
  <w:style w:type="character" w:customStyle="1" w:styleId="hps">
    <w:name w:val="hps"/>
    <w:basedOn w:val="Standardnpsmoodstavce"/>
    <w:rsid w:val="007B2040"/>
  </w:style>
  <w:style w:type="paragraph" w:customStyle="1" w:styleId="HDheadingtable">
    <w:name w:val="HD heading table"/>
    <w:basedOn w:val="Normln"/>
    <w:qFormat/>
    <w:rsid w:val="00260DBD"/>
    <w:pPr>
      <w:spacing w:after="0"/>
      <w:jc w:val="center"/>
    </w:pPr>
    <w:rPr>
      <w:rFonts w:ascii="Calibri" w:hAnsi="Calibri"/>
      <w:b/>
    </w:rPr>
  </w:style>
  <w:style w:type="paragraph" w:customStyle="1" w:styleId="HDbodytable">
    <w:name w:val="HD body table"/>
    <w:basedOn w:val="Normln"/>
    <w:qFormat/>
    <w:rsid w:val="00260DBD"/>
    <w:pPr>
      <w:spacing w:after="0"/>
    </w:pPr>
    <w:rPr>
      <w:rFonts w:ascii="Calibri" w:hAnsi="Calibri" w:cs="Arial"/>
    </w:rPr>
  </w:style>
  <w:style w:type="paragraph" w:customStyle="1" w:styleId="HDbulletlist">
    <w:name w:val="HD bulletlist"/>
    <w:basedOn w:val="Normln"/>
    <w:qFormat/>
    <w:rsid w:val="00260DBD"/>
    <w:pPr>
      <w:widowControl w:val="0"/>
      <w:numPr>
        <w:numId w:val="4"/>
      </w:numPr>
      <w:spacing w:after="0"/>
      <w:ind w:left="170" w:hanging="170"/>
      <w:jc w:val="both"/>
    </w:pPr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8A58BE"/>
    <w:pPr>
      <w:spacing w:after="0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inlineblock">
    <w:name w:val="inline_block"/>
    <w:rsid w:val="000625E0"/>
  </w:style>
  <w:style w:type="paragraph" w:styleId="Zkladntext2">
    <w:name w:val="Body Text 2"/>
    <w:basedOn w:val="Normln"/>
    <w:link w:val="Zkladntext2Char"/>
    <w:rsid w:val="00D1495B"/>
    <w:pPr>
      <w:spacing w:after="0"/>
      <w:jc w:val="both"/>
    </w:pPr>
    <w:rPr>
      <w:rFonts w:ascii="Times New Roman" w:hAnsi="Times New Roman"/>
      <w:b/>
      <w:sz w:val="36"/>
      <w:szCs w:val="24"/>
      <w:lang w:val="cs-CZ" w:eastAsia="cs-CZ"/>
    </w:rPr>
  </w:style>
  <w:style w:type="character" w:customStyle="1" w:styleId="Zkladntext2Char">
    <w:name w:val="Základní text 2 Char"/>
    <w:link w:val="Zkladntext2"/>
    <w:rsid w:val="00D1495B"/>
    <w:rPr>
      <w:rFonts w:ascii="Times New Roman" w:eastAsia="Times New Roman" w:hAnsi="Times New Roman"/>
      <w:b/>
      <w:sz w:val="36"/>
      <w:szCs w:val="24"/>
    </w:rPr>
  </w:style>
  <w:style w:type="paragraph" w:customStyle="1" w:styleId="Zkladntext3bezmezery">
    <w:name w:val="Základní text 3 bez mezery"/>
    <w:basedOn w:val="Zkladntext3"/>
    <w:next w:val="Zkladntext2"/>
    <w:rsid w:val="00D1495B"/>
    <w:pPr>
      <w:spacing w:after="0"/>
    </w:pPr>
    <w:rPr>
      <w:rFonts w:ascii="Times New Roman" w:hAnsi="Times New Roman"/>
      <w:b/>
      <w:i/>
      <w:sz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1495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D1495B"/>
    <w:rPr>
      <w:rFonts w:ascii="Arial" w:eastAsia="Times New Roman" w:hAnsi="Arial"/>
      <w:sz w:val="16"/>
      <w:szCs w:val="16"/>
      <w:lang w:val="en-GB" w:eastAsia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95B"/>
    <w:pPr>
      <w:spacing w:after="120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Char">
    <w:name w:val="Základní text Char"/>
    <w:link w:val="Zkladntext"/>
    <w:uiPriority w:val="99"/>
    <w:semiHidden/>
    <w:rsid w:val="00D1495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0119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5A6B1F"/>
  </w:style>
  <w:style w:type="character" w:styleId="Odkaznakoment">
    <w:name w:val="annotation reference"/>
    <w:basedOn w:val="Standardnpsmoodstavce"/>
    <w:uiPriority w:val="99"/>
    <w:semiHidden/>
    <w:unhideWhenUsed/>
    <w:rsid w:val="00187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54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54E"/>
    <w:rPr>
      <w:rFonts w:ascii="Arial" w:eastAsia="Times New Roman" w:hAnsi="Arial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5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54E"/>
    <w:rPr>
      <w:rFonts w:ascii="Arial" w:eastAsia="Times New Roman" w:hAnsi="Arial"/>
      <w:b/>
      <w:bCs/>
      <w:lang w:val="en-GB" w:eastAsia="en-GB"/>
    </w:rPr>
  </w:style>
  <w:style w:type="paragraph" w:customStyle="1" w:styleId="Default">
    <w:name w:val="Default"/>
    <w:rsid w:val="00205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75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st">
    <w:name w:val="st"/>
    <w:basedOn w:val="Standardnpsmoodstavce"/>
    <w:rsid w:val="00A715E5"/>
  </w:style>
  <w:style w:type="character" w:styleId="Zdraznn">
    <w:name w:val="Emphasis"/>
    <w:basedOn w:val="Standardnpsmoodstavce"/>
    <w:uiPriority w:val="20"/>
    <w:qFormat/>
    <w:rsid w:val="00A71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981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99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985F-2FDA-4AC5-B628-01ACBCCE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Hulla &amp; Co. Humandynamics KG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Humandynamics</dc:creator>
  <cp:lastModifiedBy>Stejskalová Iva</cp:lastModifiedBy>
  <cp:revision>6</cp:revision>
  <dcterms:created xsi:type="dcterms:W3CDTF">2017-08-16T06:50:00Z</dcterms:created>
  <dcterms:modified xsi:type="dcterms:W3CDTF">2020-04-23T17:19:00Z</dcterms:modified>
</cp:coreProperties>
</file>